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Calibri" w:cs="Calibri" w:eastAsia="Calibri" w:hAnsi="Calibri"/>
          <w:caps/>
          <w:color w:val="546E7A"/>
          <w:sz w:val="22"/>
          <w:szCs w:val="22"/>
        </w:rPr>
        <w:t xml:space="preserve">Undergraduate Research Proposal</w:t>
      </w:r>
    </w:p>
    <w:p>
      <w:pPr>
        <w:spacing w:after="40"/>
      </w:pPr>
    </w:p>
    <w:p>
      <w:pPr>
        <w:spacing w:after="100" w:line="320"/>
        <w:jc w:val="center"/>
      </w:pPr>
      <w:r>
        <w:rPr>
          <w:rFonts w:ascii="Calibri" w:cs="Calibri" w:eastAsia="Calibri" w:hAnsi="Calibri"/>
          <w:b/>
          <w:bCs/>
          <w:color w:val="2C3E6B"/>
          <w:sz w:val="32"/>
          <w:szCs w:val="32"/>
        </w:rPr>
        <w:t xml:space="preserve">Venetoclax as a Dual-Action Agent: Apoptosis and Innate Immune Activation via VDAC1 Gate-Opening</w:t>
      </w:r>
    </w:p>
    <w:p>
      <w:pPr>
        <w:spacing w:after="60"/>
        <w:jc w:val="center"/>
      </w:pPr>
      <w:r>
        <w:rPr>
          <w:rFonts w:ascii="Calibri" w:cs="Calibri" w:eastAsia="Calibri" w:hAnsi="Calibri"/>
          <w:i/>
          <w:iCs/>
          <w:color w:val="546E7A"/>
          <w:sz w:val="22"/>
          <w:szCs w:val="22"/>
        </w:rPr>
        <w:t xml:space="preserve">Temporal Decoupling of mtDNA Release and Cell Death in AML Cell Lines</w:t>
      </w:r>
    </w:p>
    <w:p>
      <w:pPr>
        <w:spacing w:after="80"/>
      </w:pPr>
    </w:p>
    <w:p>
      <w:pPr>
        <w:spacing w:after="40"/>
        <w:jc w:val="center"/>
      </w:pPr>
      <w:r>
        <w:rPr>
          <w:rFonts w:ascii="Calibri" w:cs="Calibri" w:eastAsia="Calibri" w:hAnsi="Calibri"/>
          <w:b/>
          <w:bCs/>
          <w:color w:val="1A1A2E"/>
          <w:sz w:val="24"/>
          <w:szCs w:val="24"/>
        </w:rPr>
        <w:t xml:space="preserve">Anthony J. Vasquez Sr.</w:t>
      </w:r>
    </w:p>
    <w:p>
      <w:pPr>
        <w:spacing w:after="40"/>
        <w:jc w:val="center"/>
      </w:pPr>
      <w:r>
        <w:rPr>
          <w:rFonts w:ascii="Calibri" w:cs="Calibri" w:eastAsia="Calibri" w:hAnsi="Calibri"/>
          <w:i/>
          <w:iCs/>
          <w:color w:val="546E7A"/>
          <w:sz w:val="20"/>
          <w:szCs w:val="20"/>
        </w:rPr>
        <w:t xml:space="preserve">Delaware Valley University, Doylestown, PA, USA</w:t>
      </w:r>
    </w:p>
    <w:p>
      <w:pPr>
        <w:spacing w:after="40"/>
        <w:jc w:val="center"/>
      </w:pPr>
      <w:r>
        <w:rPr>
          <w:rFonts w:ascii="Calibri" w:cs="Calibri" w:eastAsia="Calibri" w:hAnsi="Calibri"/>
          <w:color w:val="546E7A"/>
          <w:sz w:val="20"/>
          <w:szCs w:val="20"/>
        </w:rPr>
        <w:t xml:space="preserve">February 2026</w:t>
      </w:r>
    </w:p>
    <w:p>
      <w:pPr>
        <w:spacing w:after="120"/>
        <w:jc w:val="center"/>
      </w:pPr>
      <w:r>
        <w:rPr>
          <w:rFonts w:ascii="Calibri" w:cs="Calibri" w:eastAsia="Calibri" w:hAnsi="Calibri"/>
          <w:color w:val="78909C"/>
          <w:sz w:val="18"/>
          <w:szCs w:val="18"/>
        </w:rPr>
        <w:t xml:space="preserve">Relevant preprint: </w:t>
      </w:r>
      <w:r>
        <w:rPr>
          <w:rFonts w:ascii="Consolas" w:cs="Consolas" w:eastAsia="Consolas" w:hAnsi="Consolas"/>
          <w:color w:val="2C3E6B"/>
          <w:sz w:val="18"/>
          <w:szCs w:val="18"/>
        </w:rPr>
        <w:t xml:space="preserve">github.com/templetwo/vdac-pharmacology-atlas</w:t>
      </w:r>
    </w:p>
    <w:p>
      <w:pPr>
        <w:pBdr>
          <w:bottom w:val="single" w:color="CFD8DC" w:sz="4" w:space="8"/>
        </w:pBdr>
        <w:spacing w:before="160" w:after="160"/>
      </w:pPr>
    </w:p>
    <w:p>
      <w:pPr>
        <w:pStyle w:val="Heading1"/>
      </w:pPr>
      <w:r>
        <w:rPr>
          <w:rFonts w:ascii="Calibri" w:cs="Calibri" w:eastAsia="Calibri" w:hAnsi="Calibri"/>
          <w:color w:val="2C3E6B"/>
        </w:rPr>
        <w:t xml:space="preserve">The Question</w:t>
      </w:r>
    </w:p>
    <w:p>
      <w:pPr>
        <w:spacing w:after="160" w:line="300"/>
        <w:jc w:val="both"/>
      </w:pPr>
      <w:r>
        <w:rPr>
          <w:rFonts w:ascii="Palatino Linotype" w:cs="Palatino Linotype" w:eastAsia="Palatino Linotype" w:hAnsi="Palatino Linotype"/>
          <w:color w:val="1A1A2E"/>
          <w:sz w:val="22"/>
          <w:szCs w:val="22"/>
        </w:rPr>
        <w:t xml:space="preserve">Venetoclax (ABT-199) is an FDA-approved drug for acute myeloid leukemia (AML). The standard explanation for how it works: it inhibits BCL-2/Bcl-xL, releasing the apoptotic brake, and the cancer cell dies. This proposal tests a different — and potentially additional — mechanism.</w:t>
      </w:r>
    </w:p>
    <w:p>
      <w:pPr>
        <w:spacing w:after="160" w:line="300"/>
        <w:ind w:firstLine="360"/>
        <w:jc w:val="both"/>
      </w:pPr>
      <w:r>
        <w:rPr>
          <w:rFonts w:ascii="Palatino Linotype" w:cs="Palatino Linotype" w:eastAsia="Palatino Linotype" w:hAnsi="Palatino Linotype"/>
          <w:b/>
          <w:bCs/>
          <w:color w:val="1A1A2E"/>
          <w:sz w:val="22"/>
          <w:szCs w:val="22"/>
        </w:rPr>
        <w:t xml:space="preserve">Hypothesis: </w:t>
      </w:r>
      <w:r>
        <w:rPr>
          <w:rFonts w:ascii="Palatino Linotype" w:cs="Palatino Linotype" w:eastAsia="Palatino Linotype" w:hAnsi="Palatino Linotype"/>
          <w:color w:val="1A1A2E"/>
          <w:sz w:val="22"/>
          <w:szCs w:val="22"/>
        </w:rPr>
        <w:t xml:space="preserve">Venetoclax acts through two temporally distinct mechanisms. First, it displaces Bcl-xL from the VDAC1 channel on the outer mitochondrial membrane, triggering VDAC1 oligomerization and mtDNA release into the cytoplasm. The innate immune sensor cGAS–STING detects this mtDNA and fires an alarm signal. Second — and only afterward — canonical apoptosis (caspase activation, cell death) follows.</w:t>
      </w:r>
    </w:p>
    <w:p>
      <w:pPr>
        <w:spacing w:after="160" w:line="300"/>
        <w:ind w:firstLine="360"/>
        <w:jc w:val="both"/>
      </w:pPr>
      <w:r>
        <w:rPr>
          <w:rFonts w:ascii="Palatino Linotype" w:cs="Palatino Linotype" w:eastAsia="Palatino Linotype" w:hAnsi="Palatino Linotype"/>
          <w:color w:val="1A1A2E"/>
          <w:sz w:val="22"/>
          <w:szCs w:val="22"/>
        </w:rPr>
        <w:t xml:space="preserve">If this temporal decoupling is real, venetoclax is not just an apoptosis drug. It is a dual-action agent: an innate immune activator first, a cancer cell killer second. That sequence is unreported and would reframe how the drug is understood — and how it might be combined with checkpoint inhibitors.</w:t>
      </w:r>
    </w:p>
    <w:p>
      <w:pPr>
        <w:pStyle w:val="Heading1"/>
      </w:pPr>
      <w:r>
        <w:rPr>
          <w:rFonts w:ascii="Calibri" w:cs="Calibri" w:eastAsia="Calibri" w:hAnsi="Calibri"/>
          <w:color w:val="2C3E6B"/>
        </w:rPr>
        <w:t xml:space="preserve">Why It Matters</w:t>
      </w:r>
    </w:p>
    <w:p>
      <w:pPr>
        <w:spacing w:after="160" w:line="300"/>
        <w:jc w:val="both"/>
      </w:pPr>
      <w:r>
        <w:rPr>
          <w:rFonts w:ascii="Palatino Linotype" w:cs="Palatino Linotype" w:eastAsia="Palatino Linotype" w:hAnsi="Palatino Linotype"/>
          <w:color w:val="1A1A2E"/>
          <w:sz w:val="22"/>
          <w:szCs w:val="22"/>
        </w:rPr>
        <w:t xml:space="preserve">The cGAS–STING pathway is the same pathway that checkpoint inhibitors (anti-PD-1, anti-PD-L1) need to function. If venetoclax activates cGAS–STING before killing cancer cells, then venetoclax + checkpoint inhibitor combinations might have synergistic potential in AML — the innate alarm recruits T cells; the checkpoint inhibitor amplifies them.</w:t>
      </w:r>
    </w:p>
    <w:p>
      <w:pPr>
        <w:spacing w:after="160" w:line="300"/>
        <w:ind w:firstLine="360"/>
        <w:jc w:val="both"/>
      </w:pPr>
      <w:r>
        <w:rPr>
          <w:rFonts w:ascii="Palatino Linotype" w:cs="Palatino Linotype" w:eastAsia="Palatino Linotype" w:hAnsi="Palatino Linotype"/>
          <w:color w:val="1A1A2E"/>
          <w:sz w:val="22"/>
          <w:szCs w:val="22"/>
        </w:rPr>
        <w:t xml:space="preserve">This connects to published work showing that mtDNA release activates cGAS–STING (Rongvaux et al., Cell 2014; McArthur et al., Science 2018) and to the VDAC1–Bcl-xL structural interaction (Shimizu et al., Nature Cell Biology 1999; Arbel et al., EMBO Journal 2012).</w:t>
      </w:r>
    </w:p>
    <w:p>
      <w:pPr>
        <w:pStyle w:val="Heading1"/>
        <w:pageBreakBefore/>
      </w:pPr>
      <w:r>
        <w:rPr>
          <w:rFonts w:ascii="Calibri" w:cs="Calibri" w:eastAsia="Calibri" w:hAnsi="Calibri"/>
          <w:color w:val="2C3E6B"/>
        </w:rPr>
        <w:t xml:space="preserve">What We Would Measure</w:t>
      </w:r>
    </w:p>
    <w:p>
      <w:pPr>
        <w:spacing w:after="160" w:line="300"/>
        <w:jc w:val="both"/>
      </w:pPr>
      <w:r>
        <w:rPr>
          <w:rFonts w:ascii="Palatino Linotype" w:cs="Palatino Linotype" w:eastAsia="Palatino Linotype" w:hAnsi="Palatino Linotype"/>
          <w:color w:val="1A1A2E"/>
          <w:sz w:val="22"/>
          <w:szCs w:val="22"/>
        </w:rPr>
        <w:t xml:space="preserve">The experiment has one central design: treat AML cells with venetoclax and measure the sequence of events — does innate signaling fire before or after cell death?</w:t>
      </w:r>
    </w:p>
    <w:p>
      <w:pPr>
        <w:spacing w:after="160" w:line="300"/>
        <w:jc w:val="both"/>
      </w:pPr>
      <w:r>
        <w:rPr>
          <w:rFonts w:ascii="Palatino Linotype" w:cs="Palatino Linotype" w:eastAsia="Palatino Linotype" w:hAnsi="Palatino Linotype"/>
          <w:b/>
          <w:bCs/>
          <w:color w:val="1A1A2E"/>
          <w:sz w:val="22"/>
          <w:szCs w:val="22"/>
        </w:rPr>
        <w:t xml:space="preserve">Timeline: </w:t>
      </w:r>
      <w:r>
        <w:rPr>
          <w:rFonts w:ascii="Palatino Linotype" w:cs="Palatino Linotype" w:eastAsia="Palatino Linotype" w:hAnsi="Palatino Linotype"/>
          <w:color w:val="1A1A2E"/>
          <w:sz w:val="22"/>
          <w:szCs w:val="22"/>
        </w:rPr>
        <w:t xml:space="preserve">venetoclax treatment at t = 0, collect cells at t = 2h, 4h, 8h, 12h, 24h.</w:t>
      </w:r>
    </w:p>
    <w:p>
      <w:pPr>
        <w:spacing w:after="160" w:line="300"/>
        <w:jc w:val="both"/>
      </w:pPr>
      <w:r>
        <w:rPr>
          <w:rFonts w:ascii="Palatino Linotype" w:cs="Palatino Linotype" w:eastAsia="Palatino Linotype" w:hAnsi="Palatino Linotype"/>
          <w:color w:val="1A1A2E"/>
          <w:sz w:val="22"/>
          <w:szCs w:val="22"/>
        </w:rPr>
        <w:t xml:space="preserve">Two parallel treatment arms run simultaneously:</w:t>
      </w:r>
    </w:p>
    <w:p>
      <w:pPr>
        <w:spacing w:after="160" w:line="300"/>
        <w:jc w:val="both"/>
      </w:pPr>
      <w:r>
        <w:rPr>
          <w:rFonts w:ascii="Palatino Linotype" w:cs="Palatino Linotype" w:eastAsia="Palatino Linotype" w:hAnsi="Palatino Linotype"/>
          <w:b/>
          <w:bCs/>
          <w:color w:val="1A1A2E"/>
          <w:sz w:val="22"/>
          <w:szCs w:val="22"/>
        </w:rPr>
        <w:t xml:space="preserve">Arm A — Venetoclax alone </w:t>
      </w:r>
      <w:r>
        <w:rPr>
          <w:rFonts w:ascii="Palatino Linotype" w:cs="Palatino Linotype" w:eastAsia="Palatino Linotype" w:hAnsi="Palatino Linotype"/>
          <w:color w:val="1A1A2E"/>
          <w:sz w:val="22"/>
          <w:szCs w:val="22"/>
        </w:rPr>
        <w:t xml:space="preserve">(standard condition)</w:t>
      </w:r>
    </w:p>
    <w:p>
      <w:pPr>
        <w:spacing w:after="160" w:line="300"/>
        <w:jc w:val="both"/>
      </w:pPr>
      <w:r>
        <w:rPr>
          <w:rFonts w:ascii="Palatino Linotype" w:cs="Palatino Linotype" w:eastAsia="Palatino Linotype" w:hAnsi="Palatino Linotype"/>
          <w:b/>
          <w:bCs/>
          <w:color w:val="1A1A2E"/>
          <w:sz w:val="22"/>
          <w:szCs w:val="22"/>
        </w:rPr>
        <w:t xml:space="preserve">Arm B — Venetoclax + z-VAD-FMK </w:t>
      </w:r>
      <w:r>
        <w:rPr>
          <w:rFonts w:ascii="Palatino Linotype" w:cs="Palatino Linotype" w:eastAsia="Palatino Linotype" w:hAnsi="Palatino Linotype"/>
          <w:color w:val="1A1A2E"/>
          <w:sz w:val="22"/>
          <w:szCs w:val="22"/>
        </w:rPr>
        <w:t xml:space="preserve">(pan-caspase inhibitor, 50 μM)</w:t>
      </w:r>
    </w:p>
    <w:p>
      <w:pPr>
        <w:spacing w:after="160" w:line="300"/>
        <w:ind w:firstLine="360"/>
        <w:jc w:val="both"/>
      </w:pPr>
      <w:r>
        <w:rPr>
          <w:rFonts w:ascii="Palatino Linotype" w:cs="Palatino Linotype" w:eastAsia="Palatino Linotype" w:hAnsi="Palatino Linotype"/>
          <w:color w:val="1A1A2E"/>
          <w:sz w:val="22"/>
          <w:szCs w:val="22"/>
        </w:rPr>
        <w:t xml:space="preserve">z-VAD-FMK blocks caspase-3 and caspase-7, which — once activated — physically cleave cGAS and IRF3, destroying the innate immune sensor (Rongvaux et al. 2014). Without this inhibitor, even if the gate opens and the alarm fires, dying caspases may degrade the signal before we can measure it. Adding Arm B gives a clean window: the gate can open, mtDNA can flood the cytosol, and the immune signal has nothing suppressing it. If the hypothesis is correct, Arm B should show a dramatically amplified and earlier IFN-β signal than Arm A.</w:t>
      </w:r>
    </w:p>
    <w:p>
      <w:pPr>
        <w:spacing w:after="160" w:line="300"/>
        <w:jc w:val="both"/>
      </w:pPr>
      <w:r>
        <w:rPr>
          <w:rFonts w:ascii="Palatino Linotype" w:cs="Palatino Linotype" w:eastAsia="Palatino Linotype" w:hAnsi="Palatino Linotype"/>
          <w:color w:val="1A1A2E"/>
          <w:sz w:val="22"/>
          <w:szCs w:val="22"/>
        </w:rPr>
        <w:t xml:space="preserve">At each time point, three measurements in both arms:</w:t>
      </w:r>
    </w:p>
    <w:p>
      <w:pPr>
        <w:spacing w:before="240" w:after="100"/>
      </w:pPr>
      <w:r>
        <w:rPr>
          <w:rFonts w:ascii="Calibri" w:cs="Calibri" w:eastAsia="Calibri" w:hAnsi="Calibri"/>
          <w:b/>
          <w:bCs/>
          <w:color w:val="2C3E6B"/>
          <w:sz w:val="20"/>
          <w:szCs w:val="20"/>
        </w:rPr>
        <w:t xml:space="preserve">Table 1.</w:t>
      </w:r>
      <w:r>
        <w:rPr>
          <w:rFonts w:ascii="Calibri" w:cs="Calibri" w:eastAsia="Calibri" w:hAnsi="Calibri"/>
          <w:i/>
          <w:iCs/>
          <w:color w:val="455A64"/>
          <w:sz w:val="20"/>
          <w:szCs w:val="20"/>
        </w:rPr>
        <w:t xml:space="preserve"> Primary measurements at each time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rPr>
          <w:cantSplit/>
          <w:tblHeader/>
        </w:trPr>
        <w:tc>
          <w:tcPr>
            <w:tcW w:type="dxa" w:w="18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b/>
                <w:bCs/>
                <w:color w:val="2C3E6B"/>
                <w:sz w:val="19"/>
                <w:szCs w:val="19"/>
              </w:rPr>
              <w:t xml:space="preserve">Measurement</w:t>
            </w:r>
          </w:p>
        </w:tc>
        <w:tc>
          <w:tcPr>
            <w:tcW w:type="dxa" w:w="24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b/>
                <w:bCs/>
                <w:color w:val="2C3E6B"/>
                <w:sz w:val="19"/>
                <w:szCs w:val="19"/>
              </w:rPr>
              <w:t xml:space="preserve">What It Tells Us</w:t>
            </w:r>
          </w:p>
        </w:tc>
        <w:tc>
          <w:tcPr>
            <w:tcW w:type="dxa" w:w="27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b/>
                <w:bCs/>
                <w:color w:val="2C3E6B"/>
                <w:sz w:val="19"/>
                <w:szCs w:val="19"/>
              </w:rPr>
              <w:t xml:space="preserve">Method</w:t>
            </w:r>
          </w:p>
        </w:tc>
        <w:tc>
          <w:tcPr>
            <w:tcW w:type="dxa" w:w="246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b/>
                <w:bCs/>
                <w:color w:val="2C3E6B"/>
                <w:sz w:val="19"/>
                <w:szCs w:val="19"/>
              </w:rPr>
              <w:t xml:space="preserve">Equipment</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b/>
                <w:bCs/>
                <w:color w:val="1A1A2E"/>
                <w:sz w:val="19"/>
                <w:szCs w:val="19"/>
              </w:rPr>
              <w:t xml:space="preserve">Cytosolic mtDNA</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Is mtDNA leaking from mitochondria?</w:t>
            </w:r>
          </w:p>
        </w:tc>
        <w:tc>
          <w:tcPr>
            <w:tcW w:type="dxa" w:w="2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Cell fractionation + qPCR</w:t>
            </w:r>
          </w:p>
        </w:tc>
        <w:tc>
          <w:tcPr>
            <w:tcW w:type="dxa" w:w="24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qPCR machine</w:t>
            </w:r>
          </w:p>
        </w:tc>
      </w:tr>
      <w:tr>
        <w:trPr>
          <w:cantSplit/>
        </w:trPr>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b/>
                <w:bCs/>
                <w:color w:val="1A1A2E"/>
                <w:sz w:val="19"/>
                <w:szCs w:val="19"/>
              </w:rPr>
              <w:t xml:space="preserve">IFN-β secretion</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Is cGAS–STING alarm firing?</w:t>
            </w:r>
          </w:p>
        </w:tc>
        <w:tc>
          <w:tcPr>
            <w:tcW w:type="dxa" w:w="27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ELISA on cell supernatant</w:t>
            </w:r>
          </w:p>
        </w:tc>
        <w:tc>
          <w:tcPr>
            <w:tcW w:type="dxa" w:w="24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Plate reader</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b/>
                <w:bCs/>
                <w:color w:val="1A1A2E"/>
                <w:sz w:val="19"/>
                <w:szCs w:val="19"/>
              </w:rPr>
              <w:t xml:space="preserve">Caspase-3 activity</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Is the cell dying?</w:t>
            </w:r>
          </w:p>
        </w:tc>
        <w:tc>
          <w:tcPr>
            <w:tcW w:type="dxa" w:w="2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Colorimetric assay</w:t>
            </w:r>
          </w:p>
        </w:tc>
        <w:tc>
          <w:tcPr>
            <w:tcW w:type="dxa" w:w="24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Plate reader</w:t>
            </w:r>
          </w:p>
        </w:tc>
      </w:tr>
    </w:tbl>
    <w:p>
      <w:pPr>
        <w:spacing w:after="80"/>
      </w:pPr>
    </w:p>
    <w:p>
      <w:pPr>
        <w:pStyle w:val="Heading2"/>
      </w:pPr>
      <w:r>
        <w:rPr>
          <w:rFonts w:ascii="Calibri" w:cs="Calibri" w:eastAsia="Calibri" w:hAnsi="Calibri"/>
          <w:color w:val="2C3E6B"/>
        </w:rPr>
        <w:t xml:space="preserve">Predicted Outcomes</w:t>
      </w:r>
    </w:p>
    <w:p>
      <w:pPr>
        <w:spacing w:after="160" w:line="300"/>
        <w:jc w:val="both"/>
      </w:pPr>
      <w:r>
        <w:rPr>
          <w:rFonts w:ascii="Palatino Linotype" w:cs="Palatino Linotype" w:eastAsia="Palatino Linotype" w:hAnsi="Palatino Linotype"/>
          <w:b/>
          <w:bCs/>
          <w:color w:val="1A1A2E"/>
          <w:sz w:val="22"/>
          <w:szCs w:val="22"/>
        </w:rPr>
        <w:t xml:space="preserve">Positive result: </w:t>
      </w:r>
      <w:r>
        <w:rPr>
          <w:rFonts w:ascii="Palatino Linotype" w:cs="Palatino Linotype" w:eastAsia="Palatino Linotype" w:hAnsi="Palatino Linotype"/>
          <w:color w:val="1A1A2E"/>
          <w:sz w:val="22"/>
          <w:szCs w:val="22"/>
        </w:rPr>
        <w:t xml:space="preserve">In Arm A, mtDNA and IFN-β rise at 2–4h, caspase-3 follows at 8–12h. In Arm B, IFN-β signal is larger and earlier with caspase-3 suppressed.</w:t>
      </w:r>
    </w:p>
    <w:p>
      <w:pPr>
        <w:spacing w:after="160" w:line="300"/>
        <w:jc w:val="both"/>
      </w:pPr>
      <w:r>
        <w:rPr>
          <w:rFonts w:ascii="Palatino Linotype" w:cs="Palatino Linotype" w:eastAsia="Palatino Linotype" w:hAnsi="Palatino Linotype"/>
          <w:b/>
          <w:bCs/>
          <w:color w:val="1A1A2E"/>
          <w:sz w:val="22"/>
          <w:szCs w:val="22"/>
        </w:rPr>
        <w:t xml:space="preserve">Negative result: </w:t>
      </w:r>
      <w:r>
        <w:rPr>
          <w:rFonts w:ascii="Palatino Linotype" w:cs="Palatino Linotype" w:eastAsia="Palatino Linotype" w:hAnsi="Palatino Linotype"/>
          <w:color w:val="1A1A2E"/>
          <w:sz w:val="22"/>
          <w:szCs w:val="22"/>
        </w:rPr>
        <w:t xml:space="preserve">caspase-3 fires simultaneously with or before mtDNA/IFN-β in both arms. Standard apoptosis explanation is complete.</w:t>
      </w:r>
    </w:p>
    <w:p>
      <w:pPr>
        <w:spacing w:after="160" w:line="300"/>
        <w:jc w:val="both"/>
      </w:pPr>
      <w:r>
        <w:rPr>
          <w:rFonts w:ascii="Palatino Linotype" w:cs="Palatino Linotype" w:eastAsia="Palatino Linotype" w:hAnsi="Palatino Linotype"/>
          <w:i/>
          <w:iCs/>
          <w:color w:val="1A1A2E"/>
          <w:sz w:val="22"/>
          <w:szCs w:val="22"/>
        </w:rPr>
        <w:t xml:space="preserve">Either result advances knowledge.</w:t>
      </w:r>
    </w:p>
    <w:p>
      <w:pPr>
        <w:pStyle w:val="Heading1"/>
      </w:pPr>
      <w:r>
        <w:rPr>
          <w:rFonts w:ascii="Calibri" w:cs="Calibri" w:eastAsia="Calibri" w:hAnsi="Calibri"/>
          <w:color w:val="2C3E6B"/>
        </w:rPr>
        <w:t xml:space="preserve">Cell Line</w:t>
      </w:r>
    </w:p>
    <w:p>
      <w:pPr>
        <w:spacing w:after="160" w:line="300"/>
        <w:jc w:val="both"/>
      </w:pPr>
      <w:r>
        <w:rPr>
          <w:rFonts w:ascii="Palatino Linotype" w:cs="Palatino Linotype" w:eastAsia="Palatino Linotype" w:hAnsi="Palatino Linotype"/>
          <w:b/>
          <w:bCs/>
          <w:color w:val="1A1A2E"/>
          <w:sz w:val="22"/>
          <w:szCs w:val="22"/>
        </w:rPr>
        <w:t xml:space="preserve">THP-1 </w:t>
      </w:r>
      <w:r>
        <w:rPr>
          <w:rFonts w:ascii="Palatino Linotype" w:cs="Palatino Linotype" w:eastAsia="Palatino Linotype" w:hAnsi="Palatino Linotype"/>
          <w:color w:val="1A1A2E"/>
          <w:sz w:val="22"/>
          <w:szCs w:val="22"/>
        </w:rPr>
        <w:t xml:space="preserve">(ATCC TIB-202) — human AML monocytic cell line. Suspension culture. Well-characterized for cGAS–STING signaling studies. Intact STING pathway. Primary cell line for this experiment.</w:t>
      </w:r>
    </w:p>
    <w:p>
      <w:pPr>
        <w:spacing w:after="160" w:line="300"/>
        <w:jc w:val="both"/>
      </w:pPr>
      <w:r>
        <w:rPr>
          <w:rFonts w:ascii="Palatino Linotype" w:cs="Palatino Linotype" w:eastAsia="Palatino Linotype" w:hAnsi="Palatino Linotype"/>
          <w:b/>
          <w:bCs/>
          <w:color w:val="1A1A2E"/>
          <w:sz w:val="22"/>
          <w:szCs w:val="22"/>
        </w:rPr>
        <w:t xml:space="preserve">Backup: U937 </w:t>
      </w:r>
      <w:r>
        <w:rPr>
          <w:rFonts w:ascii="Palatino Linotype" w:cs="Palatino Linotype" w:eastAsia="Palatino Linotype" w:hAnsi="Palatino Linotype"/>
          <w:color w:val="1A1A2E"/>
          <w:sz w:val="22"/>
          <w:szCs w:val="22"/>
        </w:rPr>
        <w:t xml:space="preserve">(ATCC CRL-1593.2) — human myeloid leukemia cell line, suspension culture, intact STING pathway. If THP-1 is unavailable, U937 is the appropriate backup.</w:t>
      </w:r>
    </w:p>
    <w:p>
      <w:pPr>
        <w:spacing w:after="160" w:line="300"/>
        <w:jc w:val="both"/>
      </w:pPr>
      <w:r>
        <w:rPr>
          <w:rFonts w:ascii="Palatino Linotype" w:cs="Palatino Linotype" w:eastAsia="Palatino Linotype" w:hAnsi="Palatino Linotype"/>
          <w:b/>
          <w:bCs/>
          <w:color w:val="B71C1C"/>
          <w:sz w:val="22"/>
          <w:szCs w:val="22"/>
        </w:rPr>
        <w:t xml:space="preserve">Important: </w:t>
      </w:r>
      <w:r>
        <w:rPr>
          <w:rFonts w:ascii="Palatino Linotype" w:cs="Palatino Linotype" w:eastAsia="Palatino Linotype" w:hAnsi="Palatino Linotype"/>
          <w:color w:val="1A1A2E"/>
          <w:sz w:val="22"/>
          <w:szCs w:val="22"/>
        </w:rPr>
        <w:t xml:space="preserve">HL-60 (sometimes listed as an AML alternative) is STING-deficient and must not be used as a backup for this experiment. If HL-60 were substituted and IFN-β was undetectable, the result would be uninterpretable — the sensor would be absent, not the signal.</w:t>
      </w:r>
    </w:p>
    <w:p>
      <w:pPr>
        <w:pStyle w:val="Heading1"/>
      </w:pPr>
      <w:r>
        <w:rPr>
          <w:rFonts w:ascii="Calibri" w:cs="Calibri" w:eastAsia="Calibri" w:hAnsi="Calibri"/>
          <w:color w:val="2C3E6B"/>
        </w:rPr>
        <w:t xml:space="preserve">Controls</w:t>
      </w:r>
    </w:p>
    <w:p>
      <w:pPr>
        <w:pStyle w:val="ListParagraph"/>
        <w:numPr>
          <w:ilvl w:val="0"/>
          <w:numId w:val="2"/>
        </w:numPr>
        <w:spacing w:after="100" w:line="300"/>
      </w:pPr>
      <w:r>
        <w:rPr>
          <w:rFonts w:ascii="Palatino Linotype" w:cs="Palatino Linotype" w:eastAsia="Palatino Linotype" w:hAnsi="Palatino Linotype"/>
          <w:b/>
          <w:bCs/>
          <w:color w:val="1A1A2E"/>
          <w:sz w:val="22"/>
          <w:szCs w:val="22"/>
        </w:rPr>
        <w:t xml:space="preserve">Vehicle control: </w:t>
      </w:r>
      <w:r>
        <w:rPr>
          <w:rFonts w:ascii="Palatino Linotype" w:cs="Palatino Linotype" w:eastAsia="Palatino Linotype" w:hAnsi="Palatino Linotype"/>
          <w:color w:val="1A1A2E"/>
          <w:sz w:val="22"/>
          <w:szCs w:val="22"/>
        </w:rPr>
        <w:t xml:space="preserve">DMSO at matched concentration (no venetoclax)</w:t>
      </w:r>
    </w:p>
    <w:p>
      <w:pPr>
        <w:pStyle w:val="ListParagraph"/>
        <w:numPr>
          <w:ilvl w:val="0"/>
          <w:numId w:val="2"/>
        </w:numPr>
        <w:spacing w:after="100" w:line="300"/>
      </w:pPr>
      <w:r>
        <w:rPr>
          <w:rFonts w:ascii="Palatino Linotype" w:cs="Palatino Linotype" w:eastAsia="Palatino Linotype" w:hAnsi="Palatino Linotype"/>
          <w:b/>
          <w:bCs/>
          <w:color w:val="1A1A2E"/>
          <w:sz w:val="22"/>
          <w:szCs w:val="22"/>
        </w:rPr>
        <w:t xml:space="preserve">Positive apoptosis control: </w:t>
      </w:r>
      <w:r>
        <w:rPr>
          <w:rFonts w:ascii="Palatino Linotype" w:cs="Palatino Linotype" w:eastAsia="Palatino Linotype" w:hAnsi="Palatino Linotype"/>
          <w:color w:val="1A1A2E"/>
          <w:sz w:val="22"/>
          <w:szCs w:val="22"/>
        </w:rPr>
        <w:t xml:space="preserve">Staurosporine (known apoptosis inducer)</w:t>
      </w:r>
    </w:p>
    <w:p>
      <w:pPr>
        <w:pStyle w:val="ListParagraph"/>
        <w:numPr>
          <w:ilvl w:val="0"/>
          <w:numId w:val="2"/>
        </w:numPr>
        <w:spacing w:after="100" w:line="300"/>
      </w:pPr>
      <w:r>
        <w:rPr>
          <w:rFonts w:ascii="Palatino Linotype" w:cs="Palatino Linotype" w:eastAsia="Palatino Linotype" w:hAnsi="Palatino Linotype"/>
          <w:b/>
          <w:bCs/>
          <w:color w:val="1A1A2E"/>
          <w:sz w:val="22"/>
          <w:szCs w:val="22"/>
        </w:rPr>
        <w:t xml:space="preserve">z-VAD-FMK alone: </w:t>
      </w:r>
      <w:r>
        <w:rPr>
          <w:rFonts w:ascii="Palatino Linotype" w:cs="Palatino Linotype" w:eastAsia="Palatino Linotype" w:hAnsi="Palatino Linotype"/>
          <w:color w:val="1A1A2E"/>
          <w:sz w:val="22"/>
          <w:szCs w:val="22"/>
        </w:rPr>
        <w:t xml:space="preserve">Confirms the inhibitor has no baseline effect on IFN-β</w:t>
      </w:r>
    </w:p>
    <w:p>
      <w:pPr>
        <w:pStyle w:val="ListParagraph"/>
        <w:numPr>
          <w:ilvl w:val="0"/>
          <w:numId w:val="2"/>
        </w:numPr>
        <w:spacing w:after="100" w:line="300"/>
      </w:pPr>
      <w:r>
        <w:rPr>
          <w:rFonts w:ascii="Palatino Linotype" w:cs="Palatino Linotype" w:eastAsia="Palatino Linotype" w:hAnsi="Palatino Linotype"/>
          <w:b/>
          <w:bCs/>
          <w:color w:val="1A1A2E"/>
          <w:sz w:val="22"/>
          <w:szCs w:val="22"/>
        </w:rPr>
        <w:t xml:space="preserve">VDAC1-KO control </w:t>
      </w:r>
      <w:r>
        <w:rPr>
          <w:rFonts w:ascii="Palatino Linotype" w:cs="Palatino Linotype" w:eastAsia="Palatino Linotype" w:hAnsi="Palatino Linotype"/>
          <w:color w:val="1A1A2E"/>
          <w:sz w:val="22"/>
          <w:szCs w:val="22"/>
        </w:rPr>
        <w:t xml:space="preserve">(optional, if CRISPR available): should abolish early mtDNA release if the gate-opening mechanism is specific</w:t>
      </w:r>
    </w:p>
    <w:p>
      <w:pPr>
        <w:pStyle w:val="Heading1"/>
      </w:pPr>
      <w:r>
        <w:rPr>
          <w:rFonts w:ascii="Calibri" w:cs="Calibri" w:eastAsia="Calibri" w:hAnsi="Calibri"/>
          <w:color w:val="2C3E6B"/>
        </w:rPr>
        <w:t xml:space="preserve">Equipment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cantSplit/>
          <w:tblHeader/>
        </w:trPr>
        <w:tc>
          <w:tcPr>
            <w:tcW w:type="dxa" w:w="55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b/>
                <w:bCs/>
                <w:color w:val="2C3E6B"/>
                <w:sz w:val="19"/>
                <w:szCs w:val="19"/>
              </w:rPr>
              <w:t xml:space="preserve">Item</w:t>
            </w:r>
          </w:p>
        </w:tc>
        <w:tc>
          <w:tcPr>
            <w:tcW w:type="dxa" w:w="386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b/>
                <w:bCs/>
                <w:color w:val="2C3E6B"/>
                <w:sz w:val="19"/>
                <w:szCs w:val="19"/>
              </w:rPr>
              <w:t xml:space="preserve">Available at DVU?</w:t>
            </w:r>
          </w:p>
        </w:tc>
      </w:tr>
      <w:tr>
        <w:trPr>
          <w:cantSplit/>
        </w:trPr>
        <w:tc>
          <w:tcPr>
            <w:tcW w:type="dxa" w:w="5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BSL-2 cell culture hood + incubator</w:t>
            </w:r>
          </w:p>
        </w:tc>
        <w:tc>
          <w:tcPr>
            <w:tcW w:type="dxa" w:w="38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center"/>
            </w:pPr>
            <w:r>
              <w:rPr>
                <w:rFonts w:ascii="Calibri" w:cs="Calibri" w:eastAsia="Calibri" w:hAnsi="Calibri"/>
                <w:i/>
                <w:iCs/>
                <w:color w:val="B71C1C"/>
                <w:sz w:val="19"/>
                <w:szCs w:val="19"/>
              </w:rPr>
              <w:t xml:space="preserve">Confirm with lab</w:t>
            </w:r>
          </w:p>
        </w:tc>
      </w:tr>
      <w:tr>
        <w:trPr>
          <w:cantSplit/>
        </w:trPr>
        <w:tc>
          <w:tcPr>
            <w:tcW w:type="dxa" w:w="5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qPCR machine</w:t>
            </w:r>
          </w:p>
        </w:tc>
        <w:tc>
          <w:tcPr>
            <w:tcW w:type="dxa" w:w="38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center"/>
            </w:pPr>
            <w:r>
              <w:rPr>
                <w:rFonts w:ascii="Calibri" w:cs="Calibri" w:eastAsia="Calibri" w:hAnsi="Calibri"/>
                <w:i/>
                <w:iCs/>
                <w:color w:val="B71C1C"/>
                <w:sz w:val="19"/>
                <w:szCs w:val="19"/>
              </w:rPr>
              <w:t xml:space="preserve">Confirm with lab</w:t>
            </w:r>
          </w:p>
        </w:tc>
      </w:tr>
      <w:tr>
        <w:trPr>
          <w:cantSplit/>
        </w:trPr>
        <w:tc>
          <w:tcPr>
            <w:tcW w:type="dxa" w:w="5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Plate reader (absorbance + fluorescence)</w:t>
            </w:r>
          </w:p>
        </w:tc>
        <w:tc>
          <w:tcPr>
            <w:tcW w:type="dxa" w:w="38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center"/>
            </w:pPr>
            <w:r>
              <w:rPr>
                <w:rFonts w:ascii="Calibri" w:cs="Calibri" w:eastAsia="Calibri" w:hAnsi="Calibri"/>
                <w:i/>
                <w:iCs/>
                <w:color w:val="B71C1C"/>
                <w:sz w:val="19"/>
                <w:szCs w:val="19"/>
              </w:rPr>
              <w:t xml:space="preserve">Confirm with lab</w:t>
            </w:r>
          </w:p>
        </w:tc>
      </w:tr>
      <w:tr>
        <w:trPr>
          <w:cantSplit/>
        </w:trPr>
        <w:tc>
          <w:tcPr>
            <w:tcW w:type="dxa" w:w="5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Centrifuge (for cell fractionation)</w:t>
            </w:r>
          </w:p>
        </w:tc>
        <w:tc>
          <w:tcPr>
            <w:tcW w:type="dxa" w:w="38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center"/>
            </w:pPr>
            <w:r>
              <w:rPr>
                <w:rFonts w:ascii="Calibri" w:cs="Calibri" w:eastAsia="Calibri" w:hAnsi="Calibri"/>
                <w:color w:val="2E7D32"/>
                <w:sz w:val="19"/>
                <w:szCs w:val="19"/>
              </w:rPr>
              <w:t xml:space="preserve">Likely yes</w:t>
            </w:r>
          </w:p>
        </w:tc>
      </w:tr>
      <w:tr>
        <w:trPr>
          <w:cantSplit/>
        </w:trPr>
        <w:tc>
          <w:tcPr>
            <w:tcW w:type="dxa" w:w="5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Standard micropipettes, tubes, consumables</w:t>
            </w:r>
          </w:p>
        </w:tc>
        <w:tc>
          <w:tcPr>
            <w:tcW w:type="dxa" w:w="38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center"/>
            </w:pPr>
            <w:r>
              <w:rPr>
                <w:rFonts w:ascii="Calibri" w:cs="Calibri" w:eastAsia="Calibri" w:hAnsi="Calibri"/>
                <w:color w:val="2E7D32"/>
                <w:sz w:val="19"/>
                <w:szCs w:val="19"/>
              </w:rPr>
              <w:t xml:space="preserve">Yes</w:t>
            </w:r>
          </w:p>
        </w:tc>
      </w:tr>
    </w:tbl>
    <w:p>
      <w:pPr>
        <w:spacing w:after="80"/>
      </w:pPr>
    </w:p>
    <w:p>
      <w:pPr>
        <w:pStyle w:val="Heading1"/>
      </w:pPr>
      <w:r>
        <w:rPr>
          <w:rFonts w:ascii="Calibri" w:cs="Calibri" w:eastAsia="Calibri" w:hAnsi="Calibri"/>
          <w:color w:val="2C3E6B"/>
        </w:rPr>
        <w:t xml:space="preserve">Reagents and Estimated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860"/>
      </w:tblGrid>
      <w:tr>
        <w:trPr>
          <w:cantSplit/>
          <w:tblHeader/>
        </w:trPr>
        <w:tc>
          <w:tcPr>
            <w:tcW w:type="dxa" w:w="32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b/>
                <w:bCs/>
                <w:color w:val="2C3E6B"/>
                <w:sz w:val="19"/>
                <w:szCs w:val="19"/>
              </w:rPr>
              <w:t xml:space="preserve">Reagent</w:t>
            </w:r>
          </w:p>
        </w:tc>
        <w:tc>
          <w:tcPr>
            <w:tcW w:type="dxa" w:w="33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b/>
                <w:bCs/>
                <w:color w:val="2C3E6B"/>
                <w:sz w:val="19"/>
                <w:szCs w:val="19"/>
              </w:rPr>
              <w:t xml:space="preserve">Source</w:t>
            </w:r>
          </w:p>
        </w:tc>
        <w:tc>
          <w:tcPr>
            <w:tcW w:type="dxa" w:w="286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b/>
                <w:bCs/>
                <w:color w:val="2C3E6B"/>
                <w:sz w:val="19"/>
                <w:szCs w:val="19"/>
              </w:rPr>
              <w:t xml:space="preserve">Est. Cost</w:t>
            </w:r>
          </w:p>
        </w:tc>
      </w:tr>
      <w:tr>
        <w:trPr>
          <w:cantSplit/>
        </w:trP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Venetoclax (ABT-199), research grade</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8"/>
                <w:szCs w:val="18"/>
              </w:rPr>
              <w:t xml:space="preserve">Selleck Chemicals (S8048)</w:t>
            </w:r>
          </w:p>
        </w:tc>
        <w:tc>
          <w:tcPr>
            <w:tcW w:type="dxa" w:w="28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center"/>
            </w:pPr>
            <w:r>
              <w:rPr>
                <w:rFonts w:ascii="Calibri" w:cs="Calibri" w:eastAsia="Calibri" w:hAnsi="Calibri"/>
                <w:color w:val="1A1A2E"/>
                <w:sz w:val="19"/>
                <w:szCs w:val="19"/>
              </w:rPr>
              <w:t xml:space="preserve">~$150</w:t>
            </w:r>
          </w:p>
        </w:tc>
      </w:tr>
      <w:tr>
        <w:trPr>
          <w:cantSplit/>
        </w:trP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THP-1 cell line</w:t>
            </w:r>
          </w:p>
        </w:tc>
        <w:tc>
          <w:tcPr>
            <w:tcW w:type="dxa" w:w="3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8"/>
                <w:szCs w:val="18"/>
              </w:rPr>
              <w:t xml:space="preserve">ATCC or lab gift</w:t>
            </w:r>
          </w:p>
        </w:tc>
        <w:tc>
          <w:tcPr>
            <w:tcW w:type="dxa" w:w="28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center"/>
            </w:pPr>
            <w:r>
              <w:rPr>
                <w:rFonts w:ascii="Calibri" w:cs="Calibri" w:eastAsia="Calibri" w:hAnsi="Calibri"/>
                <w:color w:val="1A1A2E"/>
                <w:sz w:val="19"/>
                <w:szCs w:val="19"/>
              </w:rPr>
              <w:t xml:space="preserve">~$300 / free</w:t>
            </w:r>
          </w:p>
        </w:tc>
      </w:tr>
      <w:tr>
        <w:trPr>
          <w:cantSplit/>
        </w:trP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Cytoplasmic/mitochondrial fractionation kit</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8"/>
                <w:szCs w:val="18"/>
              </w:rPr>
              <w:t xml:space="preserve">Abcam ab65320 or Thermo 89874</w:t>
            </w:r>
          </w:p>
        </w:tc>
        <w:tc>
          <w:tcPr>
            <w:tcW w:type="dxa" w:w="28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center"/>
            </w:pPr>
            <w:r>
              <w:rPr>
                <w:rFonts w:ascii="Calibri" w:cs="Calibri" w:eastAsia="Calibri" w:hAnsi="Calibri"/>
                <w:color w:val="1A1A2E"/>
                <w:sz w:val="19"/>
                <w:szCs w:val="19"/>
              </w:rPr>
              <w:t xml:space="preserve">~$200</w:t>
            </w:r>
          </w:p>
        </w:tc>
      </w:tr>
      <w:tr>
        <w:trPr>
          <w:cantSplit/>
        </w:trP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Human IFN-β ELISA kit</w:t>
            </w:r>
          </w:p>
        </w:tc>
        <w:tc>
          <w:tcPr>
            <w:tcW w:type="dxa" w:w="3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8"/>
                <w:szCs w:val="18"/>
              </w:rPr>
              <w:t xml:space="preserve">Invivogen or R&amp;D Systems</w:t>
            </w:r>
          </w:p>
        </w:tc>
        <w:tc>
          <w:tcPr>
            <w:tcW w:type="dxa" w:w="28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center"/>
            </w:pPr>
            <w:r>
              <w:rPr>
                <w:rFonts w:ascii="Calibri" w:cs="Calibri" w:eastAsia="Calibri" w:hAnsi="Calibri"/>
                <w:color w:val="1A1A2E"/>
                <w:sz w:val="19"/>
                <w:szCs w:val="19"/>
              </w:rPr>
              <w:t xml:space="preserve">~$350</w:t>
            </w:r>
          </w:p>
        </w:tc>
      </w:tr>
      <w:tr>
        <w:trPr>
          <w:cantSplit/>
        </w:trP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Caspase-3 colorimetric assay kit</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8"/>
                <w:szCs w:val="18"/>
              </w:rPr>
              <w:t xml:space="preserve">Abcam ab39401</w:t>
            </w:r>
          </w:p>
        </w:tc>
        <w:tc>
          <w:tcPr>
            <w:tcW w:type="dxa" w:w="28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center"/>
            </w:pPr>
            <w:r>
              <w:rPr>
                <w:rFonts w:ascii="Calibri" w:cs="Calibri" w:eastAsia="Calibri" w:hAnsi="Calibri"/>
                <w:color w:val="1A1A2E"/>
                <w:sz w:val="19"/>
                <w:szCs w:val="19"/>
              </w:rPr>
              <w:t xml:space="preserve">~$150</w:t>
            </w:r>
          </w:p>
        </w:tc>
      </w:tr>
      <w:tr>
        <w:trPr>
          <w:cantSplit/>
        </w:trP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z-VAD-FMK (pan-caspase inhibitor)</w:t>
            </w:r>
          </w:p>
        </w:tc>
        <w:tc>
          <w:tcPr>
            <w:tcW w:type="dxa" w:w="3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8"/>
                <w:szCs w:val="18"/>
              </w:rPr>
              <w:t xml:space="preserve">Selleck Chemicals (S7023)</w:t>
            </w:r>
          </w:p>
        </w:tc>
        <w:tc>
          <w:tcPr>
            <w:tcW w:type="dxa" w:w="28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center"/>
            </w:pPr>
            <w:r>
              <w:rPr>
                <w:rFonts w:ascii="Calibri" w:cs="Calibri" w:eastAsia="Calibri" w:hAnsi="Calibri"/>
                <w:color w:val="1A1A2E"/>
                <w:sz w:val="19"/>
                <w:szCs w:val="19"/>
              </w:rPr>
              <w:t xml:space="preserve">~$100</w:t>
            </w:r>
          </w:p>
        </w:tc>
      </w:tr>
      <w:tr>
        <w:trPr>
          <w:cantSplit/>
        </w:trP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qPCR primers (Cyt b / D-loop; GAPDH)</w:t>
            </w:r>
          </w:p>
        </w:tc>
        <w:tc>
          <w:tcPr>
            <w:tcW w:type="dxa" w:w="33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8"/>
                <w:szCs w:val="18"/>
              </w:rPr>
              <w:t xml:space="preserve">IDT or Sigma</w:t>
            </w:r>
          </w:p>
        </w:tc>
        <w:tc>
          <w:tcPr>
            <w:tcW w:type="dxa" w:w="28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center"/>
            </w:pPr>
            <w:r>
              <w:rPr>
                <w:rFonts w:ascii="Calibri" w:cs="Calibri" w:eastAsia="Calibri" w:hAnsi="Calibri"/>
                <w:color w:val="1A1A2E"/>
                <w:sz w:val="19"/>
                <w:szCs w:val="19"/>
              </w:rPr>
              <w:t xml:space="preserve">~$100</w:t>
            </w:r>
          </w:p>
        </w:tc>
      </w:tr>
      <w:tr>
        <w:trPr>
          <w:cantSplit/>
        </w:trP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Culture media (RPMI + FBS), consumables</w:t>
            </w:r>
          </w:p>
        </w:tc>
        <w:tc>
          <w:tcPr>
            <w:tcW w:type="dxa" w:w="3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8"/>
                <w:szCs w:val="18"/>
              </w:rPr>
              <w:t xml:space="preserve">Lab stock</w:t>
            </w:r>
          </w:p>
        </w:tc>
        <w:tc>
          <w:tcPr>
            <w:tcW w:type="dxa" w:w="28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center"/>
            </w:pPr>
            <w:r>
              <w:rPr>
                <w:rFonts w:ascii="Calibri" w:cs="Calibri" w:eastAsia="Calibri" w:hAnsi="Calibri"/>
                <w:color w:val="1A1A2E"/>
                <w:sz w:val="19"/>
                <w:szCs w:val="19"/>
              </w:rPr>
              <w:t xml:space="preserve">~$100–200</w:t>
            </w:r>
          </w:p>
        </w:tc>
      </w:tr>
      <w:tr>
        <w:trPr>
          <w:cantSplit/>
        </w:trPr>
        <w:tc>
          <w:tcPr>
            <w:tcW w:type="dxa" w:w="32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b/>
                <w:bCs/>
                <w:color w:val="1A1A2E"/>
                <w:sz w:val="19"/>
                <w:szCs w:val="19"/>
              </w:rPr>
              <w:t xml:space="preserve">Total</w:t>
            </w:r>
          </w:p>
        </w:tc>
        <w:tc>
          <w:tcPr>
            <w:tcW w:type="dxa" w:w="33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
            </w:r>
          </w:p>
        </w:tc>
        <w:tc>
          <w:tcPr>
            <w:tcW w:type="dxa" w:w="286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center"/>
            </w:pPr>
            <w:r>
              <w:rPr>
                <w:rFonts w:ascii="Calibri" w:cs="Calibri" w:eastAsia="Calibri" w:hAnsi="Calibri"/>
                <w:b/>
                <w:bCs/>
                <w:color w:val="1A1A2E"/>
                <w:sz w:val="19"/>
                <w:szCs w:val="19"/>
              </w:rPr>
              <w:t xml:space="preserve">~$1,400–1,700</w:t>
            </w:r>
          </w:p>
        </w:tc>
      </w:tr>
    </w:tbl>
    <w:p>
      <w:pPr>
        <w:pStyle w:val="Heading1"/>
      </w:pPr>
      <w:r>
        <w:rPr>
          <w:rFonts w:ascii="Calibri" w:cs="Calibri" w:eastAsia="Calibri" w:hAnsi="Calibri"/>
          <w:color w:val="2C3E6B"/>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b/>
                <w:bCs/>
                <w:color w:val="2C3E6B"/>
                <w:sz w:val="19"/>
                <w:szCs w:val="19"/>
              </w:rPr>
              <w:t xml:space="preserve">Week</w:t>
            </w:r>
          </w:p>
        </w:tc>
        <w:tc>
          <w:tcPr>
            <w:tcW w:type="dxa" w:w="776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40" w:line="260"/>
              <w:jc w:val="left"/>
            </w:pPr>
            <w:r>
              <w:rPr>
                <w:rFonts w:ascii="Calibri" w:cs="Calibri" w:eastAsia="Calibri" w:hAnsi="Calibri"/>
                <w:b/>
                <w:bCs/>
                <w:color w:val="2C3E6B"/>
                <w:sz w:val="19"/>
                <w:szCs w:val="19"/>
              </w:rPr>
              <w:t xml:space="preserve">Activity</w:t>
            </w:r>
          </w:p>
        </w:tc>
      </w:tr>
      <w:tr>
        <w:trPr>
          <w:cantSplit/>
        </w:trP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center"/>
            </w:pPr>
            <w:r>
              <w:rPr>
                <w:rFonts w:ascii="Calibri" w:cs="Calibri" w:eastAsia="Calibri" w:hAnsi="Calibri"/>
                <w:b/>
                <w:bCs/>
                <w:color w:val="1A1A2E"/>
                <w:sz w:val="19"/>
                <w:szCs w:val="19"/>
              </w:rPr>
              <w:t xml:space="preserve">1–2</w:t>
            </w:r>
          </w:p>
        </w:tc>
        <w:tc>
          <w:tcPr>
            <w:tcW w:type="dxa" w:w="77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Acquire cells, expand culture, confirm viability</w:t>
            </w:r>
          </w:p>
        </w:tc>
      </w:tr>
      <w:tr>
        <w:trPr>
          <w:cantSplit/>
        </w:trPr>
        <w:tc>
          <w:tcPr>
            <w:tcW w:type="dxa" w:w="1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center"/>
            </w:pPr>
            <w:r>
              <w:rPr>
                <w:rFonts w:ascii="Calibri" w:cs="Calibri" w:eastAsia="Calibri" w:hAnsi="Calibri"/>
                <w:b/>
                <w:bCs/>
                <w:color w:val="1A1A2E"/>
                <w:sz w:val="19"/>
                <w:szCs w:val="19"/>
              </w:rPr>
              <w:t xml:space="preserve">3</w:t>
            </w:r>
          </w:p>
        </w:tc>
        <w:tc>
          <w:tcPr>
            <w:tcW w:type="dxa" w:w="77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Dose-response curve: find venetoclax IC50 in THP-1</w:t>
            </w:r>
          </w:p>
        </w:tc>
      </w:tr>
      <w:tr>
        <w:trPr>
          <w:cantSplit/>
        </w:trP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center"/>
            </w:pPr>
            <w:r>
              <w:rPr>
                <w:rFonts w:ascii="Calibri" w:cs="Calibri" w:eastAsia="Calibri" w:hAnsi="Calibri"/>
                <w:b/>
                <w:bCs/>
                <w:color w:val="1A1A2E"/>
                <w:sz w:val="19"/>
                <w:szCs w:val="19"/>
              </w:rPr>
              <w:t xml:space="preserve">4–5</w:t>
            </w:r>
          </w:p>
        </w:tc>
        <w:tc>
          <w:tcPr>
            <w:tcW w:type="dxa" w:w="77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Time-course experiment: 5 time points × 3 measurements</w:t>
            </w:r>
          </w:p>
        </w:tc>
      </w:tr>
      <w:tr>
        <w:trPr>
          <w:cantSplit/>
        </w:trPr>
        <w:tc>
          <w:tcPr>
            <w:tcW w:type="dxa" w:w="1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center"/>
            </w:pPr>
            <w:r>
              <w:rPr>
                <w:rFonts w:ascii="Calibri" w:cs="Calibri" w:eastAsia="Calibri" w:hAnsi="Calibri"/>
                <w:b/>
                <w:bCs/>
                <w:color w:val="1A1A2E"/>
                <w:sz w:val="19"/>
                <w:szCs w:val="19"/>
              </w:rPr>
              <w:t xml:space="preserve">6</w:t>
            </w:r>
          </w:p>
        </w:tc>
        <w:tc>
          <w:tcPr>
            <w:tcW w:type="dxa" w:w="77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Repeat experiment (biological replicate)</w:t>
            </w:r>
          </w:p>
        </w:tc>
      </w:tr>
      <w:tr>
        <w:trPr>
          <w:cantSplit/>
        </w:trPr>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center"/>
            </w:pPr>
            <w:r>
              <w:rPr>
                <w:rFonts w:ascii="Calibri" w:cs="Calibri" w:eastAsia="Calibri" w:hAnsi="Calibri"/>
                <w:b/>
                <w:bCs/>
                <w:color w:val="1A1A2E"/>
                <w:sz w:val="19"/>
                <w:szCs w:val="19"/>
              </w:rPr>
              <w:t xml:space="preserve">7–8</w:t>
            </w:r>
          </w:p>
        </w:tc>
        <w:tc>
          <w:tcPr>
            <w:tcW w:type="dxa" w:w="77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40" w:line="260"/>
              <w:jc w:val="left"/>
            </w:pPr>
            <w:r>
              <w:rPr>
                <w:rFonts w:ascii="Calibri" w:cs="Calibri" w:eastAsia="Calibri" w:hAnsi="Calibri"/>
                <w:color w:val="1A1A2E"/>
                <w:sz w:val="19"/>
                <w:szCs w:val="19"/>
              </w:rPr>
              <w:t xml:space="preserve">Data analysis, figures, interpretation</w:t>
            </w:r>
          </w:p>
        </w:tc>
      </w:tr>
    </w:tbl>
    <w:p>
      <w:pPr>
        <w:spacing w:after="80"/>
      </w:pPr>
    </w:p>
    <w:p>
      <w:pPr>
        <w:spacing w:after="160" w:line="300"/>
        <w:jc w:val="both"/>
      </w:pPr>
      <w:r>
        <w:rPr>
          <w:rFonts w:ascii="Palatino Linotype" w:cs="Palatino Linotype" w:eastAsia="Palatino Linotype" w:hAnsi="Palatino Linotype"/>
          <w:b/>
          <w:bCs/>
          <w:i/>
          <w:iCs/>
          <w:color w:val="1A1A2E"/>
          <w:sz w:val="22"/>
          <w:szCs w:val="22"/>
        </w:rPr>
        <w:t xml:space="preserve">Total: ~8 weeks from cell arrival to data.</w:t>
      </w:r>
    </w:p>
    <w:p>
      <w:pPr>
        <w:pStyle w:val="Heading1"/>
      </w:pPr>
      <w:r>
        <w:rPr>
          <w:rFonts w:ascii="Calibri" w:cs="Calibri" w:eastAsia="Calibri" w:hAnsi="Calibri"/>
          <w:color w:val="2C3E6B"/>
        </w:rPr>
        <w:t xml:space="preserve">What Success Looks Like</w:t>
      </w:r>
    </w:p>
    <w:p>
      <w:pPr>
        <w:spacing w:after="160" w:line="300"/>
        <w:jc w:val="both"/>
      </w:pPr>
      <w:r>
        <w:rPr>
          <w:rFonts w:ascii="Palatino Linotype" w:cs="Palatino Linotype" w:eastAsia="Palatino Linotype" w:hAnsi="Palatino Linotype"/>
          <w:color w:val="1A1A2E"/>
          <w:sz w:val="22"/>
          <w:szCs w:val="22"/>
        </w:rPr>
        <w:t xml:space="preserve">A positive result — mtDNA in cytosol and IFN-β secretion preceding caspase activation — would be a novel mechanistic finding for venetoclax. It would:</w:t>
      </w:r>
    </w:p>
    <w:p>
      <w:pPr>
        <w:pStyle w:val="ListParagraph"/>
        <w:numPr>
          <w:ilvl w:val="0"/>
          <w:numId w:val="3"/>
        </w:numPr>
        <w:spacing w:after="100" w:line="300"/>
      </w:pPr>
      <w:r>
        <w:rPr>
          <w:rFonts w:ascii="Palatino Linotype" w:cs="Palatino Linotype" w:eastAsia="Palatino Linotype" w:hAnsi="Palatino Linotype"/>
          <w:color w:val="1A1A2E"/>
          <w:sz w:val="22"/>
          <w:szCs w:val="22"/>
        </w:rPr>
        <w:t xml:space="preserve">Support submission of a short communication to a peer-reviewed journal (e.g., Cancer Letters, Biochemical and Biophysical Research Communications)</w:t>
      </w:r>
    </w:p>
    <w:p>
      <w:pPr>
        <w:pStyle w:val="ListParagraph"/>
        <w:numPr>
          <w:ilvl w:val="0"/>
          <w:numId w:val="3"/>
        </w:numPr>
        <w:spacing w:after="100" w:line="300"/>
      </w:pPr>
      <w:r>
        <w:rPr>
          <w:rFonts w:ascii="Palatino Linotype" w:cs="Palatino Linotype" w:eastAsia="Palatino Linotype" w:hAnsi="Palatino Linotype"/>
          <w:color w:val="1A1A2E"/>
          <w:sz w:val="22"/>
          <w:szCs w:val="22"/>
        </w:rPr>
        <w:t xml:space="preserve">Provide direct experimental evidence for the gate-jamming framework developed in the accompanying preprint</w:t>
      </w:r>
    </w:p>
    <w:p>
      <w:pPr>
        <w:pStyle w:val="ListParagraph"/>
        <w:numPr>
          <w:ilvl w:val="0"/>
          <w:numId w:val="3"/>
        </w:numPr>
        <w:spacing w:after="100" w:line="300"/>
      </w:pPr>
      <w:r>
        <w:rPr>
          <w:rFonts w:ascii="Palatino Linotype" w:cs="Palatino Linotype" w:eastAsia="Palatino Linotype" w:hAnsi="Palatino Linotype"/>
          <w:color w:val="1A1A2E"/>
          <w:sz w:val="22"/>
          <w:szCs w:val="22"/>
        </w:rPr>
        <w:t xml:space="preserve">Support a grant application (undergraduate research grant, NIH AREA, or institutional funds) for a larger follow-up study</w:t>
      </w:r>
    </w:p>
    <w:p>
      <w:pPr>
        <w:pStyle w:val="ListParagraph"/>
        <w:numPr>
          <w:ilvl w:val="0"/>
          <w:numId w:val="3"/>
        </w:numPr>
        <w:spacing w:after="160" w:line="300"/>
      </w:pPr>
      <w:r>
        <w:rPr>
          <w:rFonts w:ascii="Palatino Linotype" w:cs="Palatino Linotype" w:eastAsia="Palatino Linotype" w:hAnsi="Palatino Linotype"/>
          <w:color w:val="1A1A2E"/>
          <w:sz w:val="22"/>
          <w:szCs w:val="22"/>
        </w:rPr>
        <w:t xml:space="preserve">Be a concrete finding to bring to a collaborating AML lab or clinical center</w:t>
      </w:r>
    </w:p>
    <w:p>
      <w:pPr>
        <w:spacing w:after="160" w:line="300"/>
        <w:jc w:val="both"/>
      </w:pPr>
      <w:r>
        <w:rPr>
          <w:rFonts w:ascii="Palatino Linotype" w:cs="Palatino Linotype" w:eastAsia="Palatino Linotype" w:hAnsi="Palatino Linotype"/>
          <w:i/>
          <w:iCs/>
          <w:color w:val="1A1A2E"/>
          <w:sz w:val="22"/>
          <w:szCs w:val="22"/>
        </w:rPr>
        <w:t xml:space="preserve">A negative result is equally publishable as a mechanistic constraint.</w:t>
      </w:r>
    </w:p>
    <w:p>
      <w:pPr>
        <w:pStyle w:val="Heading1"/>
      </w:pPr>
      <w:r>
        <w:rPr>
          <w:rFonts w:ascii="Calibri" w:cs="Calibri" w:eastAsia="Calibri" w:hAnsi="Calibri"/>
          <w:color w:val="2C3E6B"/>
        </w:rPr>
        <w:t xml:space="preserve">Anticipated Confound: TREX1</w:t>
      </w:r>
    </w:p>
    <w:p>
      <w:pPr>
        <w:spacing w:after="160" w:line="300"/>
        <w:jc w:val="both"/>
      </w:pPr>
      <w:r>
        <w:rPr>
          <w:rFonts w:ascii="Palatino Linotype" w:cs="Palatino Linotype" w:eastAsia="Palatino Linotype" w:hAnsi="Palatino Linotype"/>
          <w:color w:val="1A1A2E"/>
          <w:sz w:val="22"/>
          <w:szCs w:val="22"/>
        </w:rPr>
        <w:t xml:space="preserve">THP-1 cells express TREX1 — a cytosolic DNA exonuclease that degrades single-stranded DNA fragments, including mtDNA. This is directly relevant: our transcriptomic analysis (S2, COADREAD MSS cohort) showed that TREX1 expression rises in lockstep with high gate-jamming scores (ρ = +0.315, p_bonf = 7 × 10⁻⁵), suggesting that tumors deploy TREX1 as a secondary guard to degrade any mtDNA that leaks past VDAC1 gate-jamming.</w:t>
      </w:r>
    </w:p>
    <w:p>
      <w:pPr>
        <w:spacing w:after="160" w:line="300"/>
        <w:ind w:firstLine="360"/>
        <w:jc w:val="both"/>
      </w:pPr>
      <w:r>
        <w:rPr>
          <w:rFonts w:ascii="Palatino Linotype" w:cs="Palatino Linotype" w:eastAsia="Palatino Linotype" w:hAnsi="Palatino Linotype"/>
          <w:color w:val="1A1A2E"/>
          <w:sz w:val="22"/>
          <w:szCs w:val="22"/>
        </w:rPr>
        <w:t xml:space="preserve">In this experiment, TREX1 could produce the following pattern: cytosolic mtDNA appears briefly at 2h (gate opens, mtDNA leaks), then disappears by 4h (TREX1 degrades it), and IFN-β rises only weakly or later than predicted.</w:t>
      </w:r>
    </w:p>
    <w:p>
      <w:pPr>
        <w:spacing w:after="160" w:line="300"/>
        <w:ind w:firstLine="360"/>
        <w:jc w:val="both"/>
      </w:pPr>
      <w:r>
        <w:rPr>
          <w:rFonts w:ascii="Palatino Linotype" w:cs="Palatino Linotype" w:eastAsia="Palatino Linotype" w:hAnsi="Palatino Linotype"/>
          <w:color w:val="1A1A2E"/>
          <w:sz w:val="22"/>
          <w:szCs w:val="22"/>
        </w:rPr>
        <w:t xml:space="preserve">If this pattern appears, it is not a failed experiment. It is the S2 discovery manifesting in vitro — the same belt-and-suspenders evasion identified computationally now visible at the cellular level. The discussion section should address this pattern explicitly if observed, and flag TREX1 inhibition as the logical next condition to test.</w:t>
      </w:r>
    </w:p>
    <w:p>
      <w:pPr>
        <w:pStyle w:val="Heading1"/>
      </w:pPr>
      <w:r>
        <w:rPr>
          <w:rFonts w:ascii="Calibri" w:cs="Calibri" w:eastAsia="Calibri" w:hAnsi="Calibri"/>
          <w:color w:val="2C3E6B"/>
        </w:rPr>
        <w:t xml:space="preserve">Literature Basis</w:t>
      </w:r>
    </w:p>
    <w:p>
      <w:pPr>
        <w:spacing w:after="100" w:line="280"/>
        <w:ind w:left="360" w:hanging="360"/>
      </w:pPr>
      <w:r>
        <w:rPr>
          <w:rFonts w:ascii="Palatino Linotype" w:cs="Palatino Linotype" w:eastAsia="Palatino Linotype" w:hAnsi="Palatino Linotype"/>
          <w:color w:val="1A1A2E"/>
          <w:sz w:val="20"/>
          <w:szCs w:val="20"/>
        </w:rPr>
        <w:t xml:space="preserve">Rongvaux A et al. Apoptotic caspases prevent the induction of type I interferons by mitochondrial DNA. Cell 2014;159:1563–1577.</w:t>
      </w:r>
    </w:p>
    <w:p>
      <w:pPr>
        <w:spacing w:after="100" w:line="280"/>
        <w:ind w:left="360" w:hanging="360"/>
      </w:pPr>
      <w:r>
        <w:rPr>
          <w:rFonts w:ascii="Palatino Linotype" w:cs="Palatino Linotype" w:eastAsia="Palatino Linotype" w:hAnsi="Palatino Linotype"/>
          <w:color w:val="1A1A2E"/>
          <w:sz w:val="20"/>
          <w:szCs w:val="20"/>
        </w:rPr>
        <w:t xml:space="preserve">McArthur K et al. BAK/BAX macropores facilitate mitochondrial herniation and mtDNA efflux during apoptosis. Science 2018;359:eaao6047.</w:t>
      </w:r>
    </w:p>
    <w:p>
      <w:pPr>
        <w:spacing w:after="100" w:line="280"/>
        <w:ind w:left="360" w:hanging="360"/>
      </w:pPr>
      <w:r>
        <w:rPr>
          <w:rFonts w:ascii="Palatino Linotype" w:cs="Palatino Linotype" w:eastAsia="Palatino Linotype" w:hAnsi="Palatino Linotype"/>
          <w:color w:val="1A1A2E"/>
          <w:sz w:val="20"/>
          <w:szCs w:val="20"/>
        </w:rPr>
        <w:t xml:space="preserve">Shimizu S et al. Bcl-2 family proteins regulate the release of apoptogenic cytochrome c by the mitochondrial channel VDAC. Nature 1999;399:483–487.</w:t>
      </w:r>
    </w:p>
    <w:p>
      <w:pPr>
        <w:spacing w:after="100" w:line="280"/>
        <w:ind w:left="360" w:hanging="360"/>
      </w:pPr>
      <w:r>
        <w:rPr>
          <w:rFonts w:ascii="Palatino Linotype" w:cs="Palatino Linotype" w:eastAsia="Palatino Linotype" w:hAnsi="Palatino Linotype"/>
          <w:color w:val="1A1A2E"/>
          <w:sz w:val="20"/>
          <w:szCs w:val="20"/>
        </w:rPr>
        <w:t xml:space="preserve">Arbel N et al. VDAC1 as a mediator of the anti-apoptotic activity of Bcl-xL. EMBO J 2012;31:1980–1992.</w:t>
      </w:r>
    </w:p>
    <w:p>
      <w:pPr>
        <w:spacing w:after="100" w:line="280"/>
        <w:ind w:left="360" w:hanging="360"/>
      </w:pPr>
      <w:r>
        <w:rPr>
          <w:rFonts w:ascii="Palatino Linotype" w:cs="Palatino Linotype" w:eastAsia="Palatino Linotype" w:hAnsi="Palatino Linotype"/>
          <w:color w:val="1A1A2E"/>
          <w:sz w:val="20"/>
          <w:szCs w:val="20"/>
        </w:rPr>
        <w:t xml:space="preserve">DiNardo CD et al. Venetoclax combined with decitabine or azacitidine in treatment-naive AML. NEJM 2020;383:617–629.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2" w:space="4"/>
      </w:pBdr>
      <w:jc w:val="center"/>
    </w:pPr>
    <w:r>
      <w:rPr>
        <w:rFonts w:ascii="Calibri" w:cs="Calibri" w:eastAsia="Calibri" w:hAnsi="Calibri"/>
        <w:color w:val="90A4AE"/>
        <w:sz w:val="16"/>
        <w:szCs w:val="16"/>
      </w:rPr>
      <w:t xml:space="preserve">Page </w:t>
    </w:r>
    <w:r>
      <w:rPr>
        <w:rFonts w:ascii="Calibri" w:cs="Calibri" w:eastAsia="Calibri" w:hAnsi="Calibri"/>
        <w:color w:val="90A4A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8DC" w:sz="2" w:space="4"/>
      </w:pBdr>
      <w:tabs>
        <w:tab w:val="right" w:pos="9026"/>
      </w:tabs>
      <w:spacing w:after="0"/>
    </w:pPr>
    <w:r>
      <w:rPr>
        <w:rFonts w:ascii="Calibri" w:cs="Calibri" w:eastAsia="Calibri" w:hAnsi="Calibri"/>
        <w:i/>
        <w:iCs/>
        <w:color w:val="78909C"/>
        <w:sz w:val="16"/>
        <w:szCs w:val="16"/>
      </w:rPr>
      <w:t xml:space="preserve">Vasquez 2026</w:t>
    </w:r>
    <w:r>
      <w:rPr>
        <w:rFonts w:ascii="Calibri" w:cs="Calibri" w:eastAsia="Calibri" w:hAnsi="Calibri"/>
        <w:i/>
        <w:iCs/>
        <w:color w:val="78909C"/>
        <w:sz w:val="16"/>
        <w:szCs w:val="16"/>
      </w:rPr>
      <w:t xml:space="preserve">	Venetoclax Dual-Action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2C3E6B"/>
      <w:sz w:val="28"/>
      <w:szCs w:val="28"/>
    </w:rPr>
  </w:style>
  <w:style w:type="paragraph" w:styleId="Heading2">
    <w:name w:val="Heading 2"/>
    <w:basedOn w:val="Normal"/>
    <w:next w:val="Normal"/>
    <w:qFormat/>
    <w:pPr>
      <w:spacing w:before="280" w:after="120"/>
      <w:outlineLvl w:val="1"/>
    </w:pPr>
    <w:rPr>
      <w:rFonts w:ascii="Calibri" w:cs="Calibri" w:eastAsia="Calibri" w:hAnsi="Calibri"/>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2026-02-21T23:46:22.285Z</dcterms:created>
  <dcterms:modified xsi:type="dcterms:W3CDTF">2026-02-21T23:46:22.286Z</dcterms:modified>
</cp:coreProperties>
</file>

<file path=docProps/custom.xml><?xml version="1.0" encoding="utf-8"?>
<Properties xmlns="http://schemas.openxmlformats.org/officeDocument/2006/custom-properties" xmlns:vt="http://schemas.openxmlformats.org/officeDocument/2006/docPropsVTypes"/>
</file>