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EA" w:rsidRPr="00C34895" w:rsidRDefault="00362DEA" w:rsidP="00362DEA">
      <w:pPr>
        <w:ind w:left="0"/>
        <w:rPr>
          <w:rFonts w:ascii="Century Gothic" w:hAnsi="Century Gothic"/>
        </w:rPr>
      </w:pPr>
      <w:r w:rsidRPr="00C34895">
        <w:rPr>
          <w:rFonts w:ascii="Century Gothic" w:hAnsi="Century Gothic"/>
        </w:rPr>
        <w:t>Different</w:t>
      </w:r>
      <w:r w:rsidR="00A039A7" w:rsidRPr="00C34895">
        <w:rPr>
          <w:rFonts w:ascii="Century Gothic" w:hAnsi="Century Gothic"/>
        </w:rPr>
        <w:t xml:space="preserve"> waste and energy</w:t>
      </w:r>
      <w:r w:rsidRPr="00C34895">
        <w:rPr>
          <w:rFonts w:ascii="Century Gothic" w:hAnsi="Century Gothic"/>
        </w:rPr>
        <w:t xml:space="preserve"> sources </w:t>
      </w:r>
      <w:r w:rsidR="00A039A7" w:rsidRPr="00C34895">
        <w:rPr>
          <w:rFonts w:ascii="Century Gothic" w:hAnsi="Century Gothic"/>
        </w:rPr>
        <w:t>produce</w:t>
      </w:r>
      <w:r w:rsidRPr="00C34895">
        <w:rPr>
          <w:rFonts w:ascii="Century Gothic" w:hAnsi="Century Gothic"/>
        </w:rPr>
        <w:t xml:space="preserve"> different carbon </w:t>
      </w:r>
      <w:r w:rsidR="00A039A7" w:rsidRPr="00C34895">
        <w:rPr>
          <w:rFonts w:ascii="Century Gothic" w:hAnsi="Century Gothic"/>
        </w:rPr>
        <w:t xml:space="preserve">emissions </w:t>
      </w:r>
      <w:r w:rsidRPr="00C34895">
        <w:rPr>
          <w:rFonts w:ascii="Century Gothic" w:hAnsi="Century Gothic"/>
        </w:rPr>
        <w:t>when they break down</w:t>
      </w:r>
    </w:p>
    <w:p w:rsidR="00362DEA" w:rsidRPr="00C34895" w:rsidRDefault="00362DEA" w:rsidP="00362DEA">
      <w:pPr>
        <w:rPr>
          <w:rFonts w:ascii="Century Gothic" w:hAnsi="Century Gothic"/>
        </w:rPr>
      </w:pPr>
    </w:p>
    <w:p w:rsidR="00362DEA" w:rsidRPr="00C34895" w:rsidRDefault="00362DEA" w:rsidP="00362DEA">
      <w:pPr>
        <w:ind w:left="0"/>
        <w:rPr>
          <w:rFonts w:ascii="Century Gothic" w:hAnsi="Century Gothic"/>
        </w:rPr>
      </w:pPr>
      <w:r w:rsidRPr="00C34895">
        <w:rPr>
          <w:rStyle w:val="st"/>
          <w:rFonts w:ascii="Century Gothic" w:hAnsi="Century Gothic"/>
        </w:rPr>
        <w:t xml:space="preserve">An </w:t>
      </w:r>
      <w:r w:rsidRPr="00C34895">
        <w:rPr>
          <w:rStyle w:val="Emphasis"/>
          <w:rFonts w:ascii="Century Gothic" w:hAnsi="Century Gothic"/>
        </w:rPr>
        <w:t>emission factor</w:t>
      </w:r>
      <w:r w:rsidRPr="00C34895">
        <w:rPr>
          <w:rStyle w:val="st"/>
          <w:rFonts w:ascii="Century Gothic" w:hAnsi="Century Gothic"/>
        </w:rPr>
        <w:t xml:space="preserve"> is a representative value that relates the quantity of a pollutant released to the atmosphere with an activity associated with the release of that pollutant.</w:t>
      </w:r>
    </w:p>
    <w:p w:rsidR="00362DEA" w:rsidRPr="00C34895" w:rsidRDefault="00362DEA" w:rsidP="00362DEA">
      <w:pPr>
        <w:ind w:left="0"/>
        <w:rPr>
          <w:rFonts w:ascii="Century Gothic" w:hAnsi="Century Gothic"/>
        </w:rPr>
      </w:pPr>
    </w:p>
    <w:p w:rsidR="00362DEA" w:rsidRPr="00C34895" w:rsidRDefault="00362DEA" w:rsidP="00362DEA">
      <w:pPr>
        <w:pStyle w:val="BodyText"/>
        <w:tabs>
          <w:tab w:val="left" w:pos="0"/>
          <w:tab w:val="left" w:pos="2250"/>
        </w:tabs>
        <w:spacing w:after="0" w:line="312" w:lineRule="auto"/>
        <w:ind w:left="0"/>
        <w:rPr>
          <w:rFonts w:ascii="Century Gothic" w:hAnsi="Century Gothic" w:cs="Arial"/>
          <w:szCs w:val="18"/>
        </w:rPr>
      </w:pPr>
      <w:r w:rsidRPr="00C34895">
        <w:rPr>
          <w:rFonts w:ascii="Century Gothic" w:hAnsi="Century Gothic" w:cs="Arial"/>
          <w:szCs w:val="18"/>
        </w:rPr>
        <w:t>Estimates of Scope 3 greenhouse gas emissions associated with the disposal of waste can be calculated according to the general equation:</w:t>
      </w:r>
    </w:p>
    <w:p w:rsidR="00362DEA" w:rsidRPr="00C34895" w:rsidRDefault="00362DEA" w:rsidP="00362DEA">
      <w:pPr>
        <w:pStyle w:val="BodyText"/>
        <w:tabs>
          <w:tab w:val="left" w:pos="0"/>
          <w:tab w:val="left" w:pos="2250"/>
        </w:tabs>
        <w:spacing w:after="0" w:line="312" w:lineRule="auto"/>
        <w:ind w:left="0"/>
        <w:rPr>
          <w:rFonts w:ascii="Century Gothic" w:hAnsi="Century Gothic" w:cs="Arial"/>
          <w:sz w:val="22"/>
          <w:szCs w:val="22"/>
        </w:rPr>
      </w:pPr>
    </w:p>
    <w:p w:rsidR="00362DEA" w:rsidRPr="00C34895" w:rsidRDefault="00362DEA" w:rsidP="00362DEA">
      <w:pPr>
        <w:pStyle w:val="BodyText"/>
        <w:tabs>
          <w:tab w:val="left" w:pos="0"/>
          <w:tab w:val="left" w:pos="2250"/>
        </w:tabs>
        <w:spacing w:after="0" w:line="312" w:lineRule="auto"/>
        <w:ind w:left="0"/>
        <w:jc w:val="center"/>
        <w:rPr>
          <w:rFonts w:ascii="Century Gothic" w:hAnsi="Century Gothic" w:cs="Arial"/>
          <w:sz w:val="22"/>
          <w:szCs w:val="22"/>
        </w:rPr>
      </w:pPr>
      <w:r w:rsidRPr="00C34895">
        <w:rPr>
          <w:rFonts w:ascii="Century Gothic" w:hAnsi="Century Gothic" w:cs="Arial"/>
          <w:sz w:val="22"/>
          <w:szCs w:val="22"/>
        </w:rPr>
        <w:t>GHG emissions (t CO</w:t>
      </w:r>
      <w:r w:rsidRPr="00C34895">
        <w:rPr>
          <w:rFonts w:ascii="Century Gothic" w:hAnsi="Century Gothic" w:cs="Arial"/>
          <w:sz w:val="22"/>
          <w:szCs w:val="22"/>
          <w:vertAlign w:val="subscript"/>
        </w:rPr>
        <w:t>2</w:t>
      </w:r>
      <w:r w:rsidRPr="00C34895">
        <w:rPr>
          <w:rFonts w:ascii="Century Gothic" w:hAnsi="Century Gothic" w:cs="Arial"/>
          <w:sz w:val="22"/>
          <w:szCs w:val="22"/>
        </w:rPr>
        <w:t xml:space="preserve">-e) = </w:t>
      </w:r>
      <w:proofErr w:type="spellStart"/>
      <w:r w:rsidRPr="00C34895">
        <w:rPr>
          <w:rFonts w:ascii="Century Gothic" w:hAnsi="Century Gothic" w:cs="Arial"/>
          <w:sz w:val="22"/>
          <w:szCs w:val="22"/>
        </w:rPr>
        <w:t>Q</w:t>
      </w:r>
      <w:r w:rsidRPr="00C34895">
        <w:rPr>
          <w:rFonts w:ascii="Century Gothic" w:hAnsi="Century Gothic" w:cs="Arial"/>
          <w:sz w:val="22"/>
          <w:szCs w:val="22"/>
          <w:vertAlign w:val="subscript"/>
        </w:rPr>
        <w:t>j</w:t>
      </w:r>
      <w:proofErr w:type="spellEnd"/>
      <w:r w:rsidRPr="00C34895">
        <w:rPr>
          <w:rFonts w:ascii="Century Gothic" w:hAnsi="Century Gothic" w:cs="Arial"/>
          <w:sz w:val="22"/>
          <w:szCs w:val="22"/>
        </w:rPr>
        <w:t xml:space="preserve"> x </w:t>
      </w:r>
      <w:proofErr w:type="spellStart"/>
      <w:r w:rsidRPr="00C34895">
        <w:rPr>
          <w:rFonts w:ascii="Century Gothic" w:hAnsi="Century Gothic" w:cs="Arial"/>
          <w:sz w:val="22"/>
          <w:szCs w:val="22"/>
        </w:rPr>
        <w:t>EF</w:t>
      </w:r>
      <w:r w:rsidRPr="00C34895">
        <w:rPr>
          <w:rFonts w:ascii="Century Gothic" w:hAnsi="Century Gothic" w:cs="Arial"/>
          <w:sz w:val="22"/>
          <w:szCs w:val="22"/>
          <w:vertAlign w:val="subscript"/>
        </w:rPr>
        <w:t>j</w:t>
      </w:r>
      <w:proofErr w:type="spellEnd"/>
    </w:p>
    <w:p w:rsidR="00362DEA" w:rsidRPr="00C34895" w:rsidRDefault="00362DEA" w:rsidP="00362DEA">
      <w:pPr>
        <w:pStyle w:val="BodyText"/>
        <w:tabs>
          <w:tab w:val="left" w:pos="0"/>
          <w:tab w:val="left" w:pos="851"/>
        </w:tabs>
        <w:spacing w:before="120" w:after="0" w:line="312" w:lineRule="auto"/>
        <w:ind w:left="0"/>
        <w:rPr>
          <w:rFonts w:ascii="Century Gothic" w:hAnsi="Century Gothic" w:cs="Arial"/>
          <w:szCs w:val="18"/>
        </w:rPr>
      </w:pPr>
      <w:r w:rsidRPr="00C34895">
        <w:rPr>
          <w:rFonts w:ascii="Century Gothic" w:hAnsi="Century Gothic" w:cs="Arial"/>
          <w:szCs w:val="18"/>
        </w:rPr>
        <w:tab/>
      </w:r>
      <w:proofErr w:type="gramStart"/>
      <w:r w:rsidRPr="00C34895">
        <w:rPr>
          <w:rFonts w:ascii="Century Gothic" w:hAnsi="Century Gothic" w:cs="Arial"/>
          <w:szCs w:val="18"/>
        </w:rPr>
        <w:t>where</w:t>
      </w:r>
      <w:proofErr w:type="gramEnd"/>
      <w:r w:rsidRPr="00C34895">
        <w:rPr>
          <w:rFonts w:ascii="Century Gothic" w:hAnsi="Century Gothic" w:cs="Arial"/>
          <w:szCs w:val="18"/>
        </w:rPr>
        <w:t>:</w:t>
      </w:r>
    </w:p>
    <w:p w:rsidR="00362DEA" w:rsidRPr="00C34895" w:rsidRDefault="00362DEA" w:rsidP="00362DEA">
      <w:pPr>
        <w:pStyle w:val="BodyText"/>
        <w:tabs>
          <w:tab w:val="left" w:pos="0"/>
          <w:tab w:val="left" w:pos="851"/>
        </w:tabs>
        <w:spacing w:before="120" w:after="0" w:line="312" w:lineRule="auto"/>
        <w:ind w:left="0"/>
        <w:rPr>
          <w:rFonts w:ascii="Century Gothic" w:hAnsi="Century Gothic" w:cs="Arial"/>
          <w:szCs w:val="18"/>
        </w:rPr>
      </w:pPr>
      <w:r w:rsidRPr="00C34895">
        <w:rPr>
          <w:rFonts w:ascii="Century Gothic" w:hAnsi="Century Gothic" w:cs="Arial"/>
          <w:szCs w:val="18"/>
        </w:rPr>
        <w:tab/>
      </w:r>
      <w:r w:rsidRPr="00C34895">
        <w:rPr>
          <w:rFonts w:ascii="Century Gothic" w:hAnsi="Century Gothic" w:cs="Arial"/>
          <w:szCs w:val="18"/>
        </w:rPr>
        <w:tab/>
      </w:r>
      <w:r w:rsidRPr="00C34895">
        <w:rPr>
          <w:rFonts w:ascii="Century Gothic" w:hAnsi="Century Gothic" w:cs="Arial"/>
          <w:szCs w:val="18"/>
        </w:rPr>
        <w:tab/>
      </w:r>
      <w:proofErr w:type="spellStart"/>
      <w:r w:rsidRPr="00C34895">
        <w:rPr>
          <w:rFonts w:ascii="Century Gothic" w:hAnsi="Century Gothic" w:cs="Arial"/>
        </w:rPr>
        <w:t>Q</w:t>
      </w:r>
      <w:r w:rsidRPr="00C34895">
        <w:rPr>
          <w:rFonts w:ascii="Century Gothic" w:hAnsi="Century Gothic" w:cs="Arial"/>
          <w:vertAlign w:val="subscript"/>
        </w:rPr>
        <w:t>j</w:t>
      </w:r>
      <w:proofErr w:type="spellEnd"/>
      <w:r w:rsidRPr="00C34895">
        <w:rPr>
          <w:rFonts w:ascii="Century Gothic" w:hAnsi="Century Gothic" w:cs="Arial"/>
          <w:szCs w:val="18"/>
        </w:rPr>
        <w:t xml:space="preserve"> is the </w:t>
      </w:r>
      <w:r w:rsidRPr="00C34895">
        <w:rPr>
          <w:rFonts w:ascii="Century Gothic" w:hAnsi="Century Gothic" w:cs="Arial"/>
          <w:b/>
          <w:szCs w:val="18"/>
        </w:rPr>
        <w:t>quantity of waste</w:t>
      </w:r>
      <w:r w:rsidRPr="00C34895">
        <w:rPr>
          <w:rFonts w:ascii="Century Gothic" w:hAnsi="Century Gothic" w:cs="Arial"/>
          <w:szCs w:val="18"/>
        </w:rPr>
        <w:t xml:space="preserve"> by type j</w:t>
      </w:r>
    </w:p>
    <w:p w:rsidR="00362DEA" w:rsidRPr="00C34895" w:rsidRDefault="00362DEA" w:rsidP="00362DEA">
      <w:pPr>
        <w:pStyle w:val="BodyText"/>
        <w:tabs>
          <w:tab w:val="left" w:pos="0"/>
          <w:tab w:val="left" w:pos="851"/>
        </w:tabs>
        <w:spacing w:before="120" w:after="0" w:line="312" w:lineRule="auto"/>
        <w:ind w:left="0"/>
        <w:rPr>
          <w:rFonts w:ascii="Century Gothic" w:hAnsi="Century Gothic" w:cs="Arial"/>
          <w:szCs w:val="18"/>
        </w:rPr>
      </w:pPr>
      <w:r w:rsidRPr="00C34895">
        <w:rPr>
          <w:rFonts w:ascii="Century Gothic" w:hAnsi="Century Gothic" w:cs="Arial"/>
          <w:szCs w:val="18"/>
        </w:rPr>
        <w:tab/>
      </w:r>
      <w:r w:rsidRPr="00C34895">
        <w:rPr>
          <w:rFonts w:ascii="Century Gothic" w:hAnsi="Century Gothic" w:cs="Arial"/>
          <w:szCs w:val="18"/>
        </w:rPr>
        <w:tab/>
      </w:r>
      <w:r w:rsidRPr="00C34895">
        <w:rPr>
          <w:rFonts w:ascii="Century Gothic" w:hAnsi="Century Gothic" w:cs="Arial"/>
          <w:szCs w:val="18"/>
        </w:rPr>
        <w:tab/>
      </w:r>
      <w:proofErr w:type="spellStart"/>
      <w:r w:rsidRPr="00C34895">
        <w:rPr>
          <w:rFonts w:ascii="Century Gothic" w:hAnsi="Century Gothic" w:cs="Arial"/>
        </w:rPr>
        <w:t>EF</w:t>
      </w:r>
      <w:r w:rsidRPr="00C34895">
        <w:rPr>
          <w:rFonts w:ascii="Century Gothic" w:hAnsi="Century Gothic" w:cs="Arial"/>
          <w:vertAlign w:val="subscript"/>
        </w:rPr>
        <w:t>j</w:t>
      </w:r>
      <w:proofErr w:type="spellEnd"/>
      <w:r w:rsidRPr="00C34895">
        <w:rPr>
          <w:rFonts w:ascii="Century Gothic" w:hAnsi="Century Gothic" w:cs="Arial"/>
          <w:szCs w:val="18"/>
        </w:rPr>
        <w:t xml:space="preserve"> is the </w:t>
      </w:r>
      <w:r w:rsidRPr="00C34895">
        <w:rPr>
          <w:rFonts w:ascii="Century Gothic" w:hAnsi="Century Gothic" w:cs="Arial"/>
          <w:b/>
          <w:szCs w:val="18"/>
        </w:rPr>
        <w:t>emission factor</w:t>
      </w:r>
      <w:r w:rsidRPr="00C34895">
        <w:rPr>
          <w:rFonts w:ascii="Century Gothic" w:hAnsi="Century Gothic" w:cs="Arial"/>
          <w:szCs w:val="18"/>
        </w:rPr>
        <w:t xml:space="preserve"> of waste type j (see Table 42, column B)</w:t>
      </w:r>
      <w:r w:rsidRPr="00C34895">
        <w:rPr>
          <w:rFonts w:ascii="Century Gothic" w:hAnsi="Century Gothic" w:cs="Arial"/>
          <w:szCs w:val="18"/>
        </w:rPr>
        <w:tab/>
      </w:r>
      <w:r w:rsidRPr="00C34895">
        <w:rPr>
          <w:rFonts w:ascii="Century Gothic" w:hAnsi="Century Gothic" w:cs="Arial"/>
          <w:szCs w:val="18"/>
        </w:rPr>
        <w:tab/>
      </w:r>
      <w:r w:rsidRPr="00C34895">
        <w:rPr>
          <w:rFonts w:ascii="Century Gothic" w:hAnsi="Century Gothic" w:cs="Arial"/>
          <w:szCs w:val="18"/>
        </w:rPr>
        <w:tab/>
      </w:r>
    </w:p>
    <w:p w:rsidR="00C34895" w:rsidRPr="00C34895" w:rsidRDefault="00C34895" w:rsidP="00362DEA">
      <w:pPr>
        <w:pStyle w:val="Caption"/>
        <w:rPr>
          <w:rFonts w:ascii="Century Gothic" w:hAnsi="Century Gothic"/>
        </w:rPr>
      </w:pPr>
      <w:bookmarkStart w:id="0" w:name="_Toc391646727"/>
      <w:bookmarkStart w:id="1" w:name="_Toc406754629"/>
    </w:p>
    <w:p w:rsidR="00C34895" w:rsidRPr="00C34895" w:rsidRDefault="00C34895" w:rsidP="00C34895">
      <w:pPr>
        <w:pStyle w:val="BodyText"/>
        <w:ind w:left="0"/>
        <w:rPr>
          <w:rFonts w:ascii="Century Gothic" w:hAnsi="Century Gothic"/>
          <w:b/>
        </w:rPr>
      </w:pPr>
      <w:r w:rsidRPr="00C34895">
        <w:rPr>
          <w:rFonts w:ascii="Century Gothic" w:hAnsi="Century Gothic"/>
          <w:b/>
        </w:rPr>
        <w:t>Emissions Factors:</w:t>
      </w:r>
    </w:p>
    <w:p w:rsidR="00C34895" w:rsidRPr="00C34895" w:rsidRDefault="00C34895" w:rsidP="00C34895">
      <w:pPr>
        <w:pStyle w:val="BodyText"/>
        <w:numPr>
          <w:ilvl w:val="0"/>
          <w:numId w:val="1"/>
        </w:numPr>
        <w:rPr>
          <w:rFonts w:ascii="Century Gothic" w:hAnsi="Century Gothic"/>
        </w:rPr>
      </w:pPr>
      <w:r w:rsidRPr="00C34895">
        <w:rPr>
          <w:rFonts w:ascii="Century Gothic" w:hAnsi="Century Gothic"/>
        </w:rPr>
        <w:t>Food = 1.6</w:t>
      </w:r>
    </w:p>
    <w:p w:rsidR="00C34895" w:rsidRPr="00C34895" w:rsidRDefault="00C34895" w:rsidP="00C34895">
      <w:pPr>
        <w:pStyle w:val="BodyText"/>
        <w:numPr>
          <w:ilvl w:val="0"/>
          <w:numId w:val="1"/>
        </w:numPr>
        <w:rPr>
          <w:rFonts w:ascii="Century Gothic" w:hAnsi="Century Gothic"/>
        </w:rPr>
      </w:pPr>
      <w:r w:rsidRPr="00C34895">
        <w:rPr>
          <w:rFonts w:ascii="Century Gothic" w:hAnsi="Century Gothic"/>
        </w:rPr>
        <w:t>Paper/cardboard = 2.5</w:t>
      </w:r>
    </w:p>
    <w:p w:rsidR="00C34895" w:rsidRPr="00C34895" w:rsidRDefault="00C34895" w:rsidP="00C34895">
      <w:pPr>
        <w:pStyle w:val="BodyText"/>
        <w:numPr>
          <w:ilvl w:val="0"/>
          <w:numId w:val="1"/>
        </w:numPr>
        <w:rPr>
          <w:rFonts w:ascii="Century Gothic" w:hAnsi="Century Gothic"/>
        </w:rPr>
      </w:pPr>
      <w:r w:rsidRPr="00C34895">
        <w:rPr>
          <w:rFonts w:ascii="Century Gothic" w:hAnsi="Century Gothic"/>
        </w:rPr>
        <w:t>Garden waste = 1.2</w:t>
      </w:r>
    </w:p>
    <w:p w:rsidR="00C34895" w:rsidRPr="00C34895" w:rsidRDefault="00C34895" w:rsidP="00C34895">
      <w:pPr>
        <w:pStyle w:val="BodyText"/>
        <w:numPr>
          <w:ilvl w:val="0"/>
          <w:numId w:val="1"/>
        </w:numPr>
        <w:rPr>
          <w:rFonts w:ascii="Century Gothic" w:hAnsi="Century Gothic"/>
        </w:rPr>
      </w:pPr>
      <w:r w:rsidRPr="00C34895">
        <w:rPr>
          <w:rFonts w:ascii="Century Gothic" w:hAnsi="Century Gothic"/>
        </w:rPr>
        <w:t>Inert waste = 0.00</w:t>
      </w:r>
    </w:p>
    <w:p w:rsidR="00C34895" w:rsidRPr="00C34895" w:rsidRDefault="00C34895" w:rsidP="00362DEA">
      <w:pPr>
        <w:pStyle w:val="Caption"/>
        <w:rPr>
          <w:rFonts w:ascii="Century Gothic" w:hAnsi="Century Gothic"/>
        </w:rPr>
      </w:pP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  <w:b/>
          <w:bCs/>
        </w:rPr>
      </w:pPr>
      <w:r w:rsidRPr="00C34895">
        <w:rPr>
          <w:rFonts w:ascii="Century Gothic" w:hAnsi="Century Gothic" w:cs="Arial"/>
          <w:b/>
          <w:bCs/>
        </w:rPr>
        <w:t xml:space="preserve">Example: Calculation of lifetime emissions generated from solid waste 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 xml:space="preserve">A higher education facility produced a total solid waste stream of 240 tonnes which was disposed of in the local landfill.  This waste comprises 140 tonnes of food waste, 50 tonnes of paper/cardboard, 10 tonnes of garden waste and 40 tonnes of inert waste (e.g. </w:t>
      </w:r>
      <w:r w:rsidRPr="00C34895">
        <w:rPr>
          <w:rStyle w:val="norm1"/>
          <w:rFonts w:ascii="Century Gothic" w:hAnsi="Century Gothic" w:cs="Arial"/>
          <w:sz w:val="18"/>
          <w:szCs w:val="18"/>
        </w:rPr>
        <w:t>concrete, metal, plastic and glass)</w:t>
      </w:r>
      <w:r w:rsidRPr="00C34895">
        <w:rPr>
          <w:rFonts w:ascii="Century Gothic" w:hAnsi="Century Gothic" w:cs="Arial"/>
        </w:rPr>
        <w:t>.  As each waste stream needs to be treated separately, their lifetime greenhouse gas emissions (GHG) are calculated as follows: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>GHG emissions (t CO</w:t>
      </w:r>
      <w:r w:rsidRPr="00C34895">
        <w:rPr>
          <w:rFonts w:ascii="Century Gothic" w:hAnsi="Century Gothic" w:cs="Arial"/>
          <w:vertAlign w:val="subscript"/>
        </w:rPr>
        <w:t>2</w:t>
      </w:r>
      <w:r w:rsidRPr="00C34895">
        <w:rPr>
          <w:rFonts w:ascii="Century Gothic" w:hAnsi="Century Gothic" w:cs="Arial"/>
        </w:rPr>
        <w:t>-e)</w:t>
      </w:r>
      <w:r w:rsidRPr="00C34895">
        <w:rPr>
          <w:rFonts w:ascii="Century Gothic" w:hAnsi="Century Gothic" w:cs="Arial"/>
        </w:rPr>
        <w:tab/>
        <w:t xml:space="preserve">= </w:t>
      </w:r>
      <w:proofErr w:type="spellStart"/>
      <w:r w:rsidRPr="00C34895">
        <w:rPr>
          <w:rFonts w:ascii="Century Gothic" w:hAnsi="Century Gothic" w:cs="Arial"/>
        </w:rPr>
        <w:t>Qt</w:t>
      </w:r>
      <w:proofErr w:type="spellEnd"/>
      <w:r w:rsidRPr="00C34895">
        <w:rPr>
          <w:rFonts w:ascii="Century Gothic" w:hAnsi="Century Gothic" w:cs="Arial"/>
        </w:rPr>
        <w:t xml:space="preserve"> x EF (Table 42, Column B)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 xml:space="preserve">Food </w:t>
      </w:r>
      <w:r w:rsidRPr="00C34895">
        <w:rPr>
          <w:rFonts w:ascii="Century Gothic" w:hAnsi="Century Gothic" w:cs="Arial"/>
        </w:rPr>
        <w:tab/>
      </w:r>
      <w:r w:rsidRPr="00C34895">
        <w:rPr>
          <w:rFonts w:ascii="Century Gothic" w:hAnsi="Century Gothic" w:cs="Arial"/>
        </w:rPr>
        <w:tab/>
        <w:t>= 140 x 1.6</w:t>
      </w:r>
      <w:r w:rsidRPr="00C34895">
        <w:rPr>
          <w:rFonts w:ascii="Century Gothic" w:hAnsi="Century Gothic" w:cs="Arial"/>
        </w:rPr>
        <w:tab/>
        <w:t>= 224 tonnes CO</w:t>
      </w:r>
      <w:r w:rsidRPr="00C34895">
        <w:rPr>
          <w:rFonts w:ascii="Century Gothic" w:hAnsi="Century Gothic" w:cs="Arial"/>
          <w:vertAlign w:val="subscript"/>
        </w:rPr>
        <w:t>2</w:t>
      </w:r>
      <w:r w:rsidRPr="00C34895">
        <w:rPr>
          <w:rFonts w:ascii="Century Gothic" w:hAnsi="Century Gothic" w:cs="Arial"/>
        </w:rPr>
        <w:t>-e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 xml:space="preserve">Paper </w:t>
      </w:r>
      <w:r w:rsidRPr="00C34895">
        <w:rPr>
          <w:rFonts w:ascii="Century Gothic" w:hAnsi="Century Gothic" w:cs="Arial"/>
        </w:rPr>
        <w:tab/>
      </w:r>
      <w:r w:rsidRPr="00C34895">
        <w:rPr>
          <w:rFonts w:ascii="Century Gothic" w:hAnsi="Century Gothic" w:cs="Arial"/>
        </w:rPr>
        <w:tab/>
        <w:t>= 50 x 2.5</w:t>
      </w:r>
      <w:r w:rsidRPr="00C34895">
        <w:rPr>
          <w:rFonts w:ascii="Century Gothic" w:hAnsi="Century Gothic" w:cs="Arial"/>
        </w:rPr>
        <w:tab/>
        <w:t>= 125 tonnes CO</w:t>
      </w:r>
      <w:r w:rsidRPr="00C34895">
        <w:rPr>
          <w:rFonts w:ascii="Century Gothic" w:hAnsi="Century Gothic" w:cs="Arial"/>
          <w:vertAlign w:val="subscript"/>
        </w:rPr>
        <w:t>2</w:t>
      </w:r>
      <w:r w:rsidRPr="00C34895">
        <w:rPr>
          <w:rFonts w:ascii="Century Gothic" w:hAnsi="Century Gothic" w:cs="Arial"/>
        </w:rPr>
        <w:t>-e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>Garden</w:t>
      </w:r>
      <w:r w:rsidRPr="00C34895">
        <w:rPr>
          <w:rFonts w:ascii="Century Gothic" w:hAnsi="Century Gothic" w:cs="Arial"/>
        </w:rPr>
        <w:tab/>
      </w:r>
      <w:r w:rsidRPr="00C34895">
        <w:rPr>
          <w:rFonts w:ascii="Century Gothic" w:hAnsi="Century Gothic" w:cs="Arial"/>
        </w:rPr>
        <w:tab/>
        <w:t>= 10 x1.2</w:t>
      </w:r>
      <w:r w:rsidRPr="00C34895">
        <w:rPr>
          <w:rFonts w:ascii="Century Gothic" w:hAnsi="Century Gothic" w:cs="Arial"/>
        </w:rPr>
        <w:tab/>
        <w:t>= 12 tonnes CO</w:t>
      </w:r>
      <w:r w:rsidRPr="00C34895">
        <w:rPr>
          <w:rFonts w:ascii="Century Gothic" w:hAnsi="Century Gothic" w:cs="Arial"/>
          <w:vertAlign w:val="subscript"/>
        </w:rPr>
        <w:t>2</w:t>
      </w:r>
      <w:r w:rsidRPr="00C34895">
        <w:rPr>
          <w:rFonts w:ascii="Century Gothic" w:hAnsi="Century Gothic" w:cs="Arial"/>
        </w:rPr>
        <w:t>-e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>Inert</w:t>
      </w:r>
      <w:r w:rsidRPr="00C34895">
        <w:rPr>
          <w:rFonts w:ascii="Century Gothic" w:hAnsi="Century Gothic" w:cs="Arial"/>
        </w:rPr>
        <w:tab/>
      </w:r>
      <w:r w:rsidRPr="00C34895">
        <w:rPr>
          <w:rFonts w:ascii="Century Gothic" w:hAnsi="Century Gothic" w:cs="Arial"/>
        </w:rPr>
        <w:tab/>
        <w:t>= 40 x 0.0</w:t>
      </w:r>
      <w:r w:rsidRPr="00C34895">
        <w:rPr>
          <w:rFonts w:ascii="Century Gothic" w:hAnsi="Century Gothic" w:cs="Arial"/>
        </w:rPr>
        <w:tab/>
        <w:t>= 0 tonnes CO</w:t>
      </w:r>
      <w:r w:rsidRPr="00C34895">
        <w:rPr>
          <w:rFonts w:ascii="Century Gothic" w:hAnsi="Century Gothic" w:cs="Arial"/>
          <w:vertAlign w:val="subscript"/>
        </w:rPr>
        <w:t>2</w:t>
      </w:r>
      <w:r w:rsidRPr="00C34895">
        <w:rPr>
          <w:rFonts w:ascii="Century Gothic" w:hAnsi="Century Gothic" w:cs="Arial"/>
        </w:rPr>
        <w:t xml:space="preserve">-e </w:t>
      </w:r>
    </w:p>
    <w:p w:rsidR="00C34895" w:rsidRPr="00C34895" w:rsidRDefault="00C34895" w:rsidP="00C34895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tabs>
          <w:tab w:val="left" w:pos="0"/>
        </w:tabs>
        <w:spacing w:before="120" w:after="0" w:line="312" w:lineRule="auto"/>
        <w:ind w:left="0"/>
        <w:rPr>
          <w:rFonts w:ascii="Century Gothic" w:hAnsi="Century Gothic" w:cs="Arial"/>
        </w:rPr>
      </w:pPr>
      <w:r w:rsidRPr="00C34895">
        <w:rPr>
          <w:rFonts w:ascii="Century Gothic" w:hAnsi="Century Gothic" w:cs="Arial"/>
        </w:rPr>
        <w:t>Total Waste GHG emissions = 361 tonnes CO</w:t>
      </w:r>
      <w:r w:rsidRPr="00C34895">
        <w:rPr>
          <w:rFonts w:ascii="Century Gothic" w:hAnsi="Century Gothic" w:cs="Arial"/>
          <w:vertAlign w:val="subscript"/>
        </w:rPr>
        <w:t>2</w:t>
      </w:r>
      <w:r w:rsidRPr="00C34895">
        <w:rPr>
          <w:rFonts w:ascii="Century Gothic" w:hAnsi="Century Gothic" w:cs="Arial"/>
        </w:rPr>
        <w:t>-e</w:t>
      </w:r>
    </w:p>
    <w:p w:rsidR="00C34895" w:rsidRPr="00C34895" w:rsidRDefault="00C34895" w:rsidP="00C34895">
      <w:pPr>
        <w:pStyle w:val="BodyText"/>
        <w:rPr>
          <w:rFonts w:ascii="Century Gothic" w:hAnsi="Century Gothic"/>
        </w:rPr>
      </w:pPr>
    </w:p>
    <w:p w:rsidR="00C34895" w:rsidRPr="00C34895" w:rsidRDefault="00C34895" w:rsidP="00362DEA">
      <w:pPr>
        <w:pStyle w:val="Caption"/>
        <w:rPr>
          <w:rFonts w:ascii="Century Gothic" w:hAnsi="Century Gothic"/>
        </w:rPr>
      </w:pPr>
    </w:p>
    <w:p w:rsidR="00C34895" w:rsidRPr="00C34895" w:rsidRDefault="00C34895" w:rsidP="00C34895">
      <w:pPr>
        <w:ind w:left="0"/>
        <w:rPr>
          <w:rFonts w:ascii="Century Gothic" w:hAnsi="Century Gothic"/>
        </w:rPr>
      </w:pPr>
      <w:hyperlink r:id="rId5" w:history="1">
        <w:r w:rsidRPr="00C34895">
          <w:rPr>
            <w:rStyle w:val="Hyperlink"/>
            <w:rFonts w:ascii="Century Gothic" w:hAnsi="Century Gothic"/>
          </w:rPr>
          <w:t>http://watchmyw</w:t>
        </w:r>
        <w:r w:rsidRPr="00C34895">
          <w:rPr>
            <w:rStyle w:val="Hyperlink"/>
            <w:rFonts w:ascii="Century Gothic" w:hAnsi="Century Gothic"/>
          </w:rPr>
          <w:t>aste.com.au/food-waste-greenhouse-gas-calculator/</w:t>
        </w:r>
      </w:hyperlink>
      <w:r w:rsidRPr="00C34895">
        <w:rPr>
          <w:rFonts w:ascii="Century Gothic" w:hAnsi="Century Gothic"/>
        </w:rPr>
        <w:t xml:space="preserve"> </w:t>
      </w:r>
    </w:p>
    <w:p w:rsidR="00C34895" w:rsidRPr="00C34895" w:rsidRDefault="00C34895">
      <w:pPr>
        <w:spacing w:after="160" w:line="259" w:lineRule="auto"/>
        <w:ind w:left="0"/>
        <w:rPr>
          <w:rFonts w:ascii="Century Gothic" w:hAnsi="Century Gothic"/>
        </w:rPr>
      </w:pPr>
      <w:r w:rsidRPr="00C34895">
        <w:rPr>
          <w:rFonts w:ascii="Century Gothic" w:hAnsi="Century Gothic"/>
        </w:rPr>
        <w:br w:type="page"/>
      </w:r>
    </w:p>
    <w:p w:rsidR="00362DEA" w:rsidRPr="00C34895" w:rsidRDefault="00362DEA" w:rsidP="00362DEA">
      <w:pPr>
        <w:pStyle w:val="Caption"/>
        <w:rPr>
          <w:rFonts w:ascii="Century Gothic" w:hAnsi="Century Gothic"/>
        </w:rPr>
      </w:pPr>
      <w:r w:rsidRPr="00C34895">
        <w:rPr>
          <w:rFonts w:ascii="Century Gothic" w:hAnsi="Century Gothic"/>
        </w:rPr>
        <w:lastRenderedPageBreak/>
        <w:t>Table 42:  Waste mix methane conversion factors</w:t>
      </w:r>
      <w:bookmarkEnd w:id="0"/>
      <w:bookmarkEnd w:id="1"/>
    </w:p>
    <w:tbl>
      <w:tblPr>
        <w:tblW w:w="10001" w:type="dxa"/>
        <w:tblInd w:w="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36"/>
        <w:gridCol w:w="2204"/>
        <w:gridCol w:w="3261"/>
      </w:tblGrid>
      <w:tr w:rsidR="00362DEA" w:rsidRPr="00C34895" w:rsidTr="00C34895">
        <w:trPr>
          <w:trHeight w:val="40"/>
          <w:tblHeader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362DEA" w:rsidRPr="00C34895" w:rsidRDefault="00362DEA" w:rsidP="00595DF6">
            <w:pPr>
              <w:pStyle w:val="Table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/>
                <w:b/>
                <w:bCs/>
                <w:sz w:val="18"/>
                <w:szCs w:val="18"/>
              </w:rPr>
              <w:t>Waste types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b/>
                <w:bCs/>
                <w:sz w:val="18"/>
                <w:szCs w:val="18"/>
              </w:rPr>
              <w:t>Default DOC proportion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b/>
                <w:bCs/>
                <w:sz w:val="18"/>
                <w:szCs w:val="18"/>
              </w:rPr>
              <w:t>Conversion factor CO</w:t>
            </w:r>
            <w:r w:rsidRPr="00C34895">
              <w:rPr>
                <w:rFonts w:ascii="Century Gothic" w:hAnsi="Century Gothic" w:cs="Arial"/>
                <w:b/>
                <w:bCs/>
                <w:sz w:val="18"/>
                <w:szCs w:val="18"/>
                <w:vertAlign w:val="subscript"/>
              </w:rPr>
              <w:t>2</w:t>
            </w:r>
            <w:r w:rsidRPr="00C34895">
              <w:rPr>
                <w:rFonts w:ascii="Century Gothic" w:hAnsi="Century Gothic" w:cs="Arial"/>
                <w:b/>
                <w:bCs/>
                <w:sz w:val="18"/>
                <w:szCs w:val="18"/>
              </w:rPr>
              <w:t>-e (t=tonnes)</w:t>
            </w:r>
          </w:p>
        </w:tc>
      </w:tr>
      <w:tr w:rsidR="00362DEA" w:rsidRPr="00C34895" w:rsidTr="00C34895">
        <w:trPr>
          <w:trHeight w:hRule="exact" w:val="425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61" w:hanging="1761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bCs/>
                <w:sz w:val="18"/>
                <w:szCs w:val="18"/>
              </w:rPr>
              <w:t>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bCs/>
                <w:sz w:val="18"/>
                <w:szCs w:val="18"/>
              </w:rPr>
              <w:t>B</w:t>
            </w:r>
          </w:p>
        </w:tc>
      </w:tr>
      <w:tr w:rsidR="00362DEA" w:rsidRPr="00C34895" w:rsidTr="00C34895">
        <w:trPr>
          <w:trHeight w:hRule="exact" w:val="503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Food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61" w:hanging="1761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0.15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 x 1.6</w:t>
            </w:r>
          </w:p>
        </w:tc>
      </w:tr>
      <w:tr w:rsidR="00362DEA" w:rsidRPr="00C34895" w:rsidTr="00C34895">
        <w:trPr>
          <w:trHeight w:hRule="exact" w:val="425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Paper and cardboard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61" w:hanging="1761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0.4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 x 2.5</w:t>
            </w:r>
          </w:p>
        </w:tc>
      </w:tr>
      <w:tr w:rsidR="00362DEA" w:rsidRPr="00C34895" w:rsidTr="00C34895">
        <w:trPr>
          <w:trHeight w:hRule="exact" w:val="425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Garden and green</w:t>
            </w:r>
            <w:r w:rsidR="00C34895" w:rsidRPr="00C34895">
              <w:rPr>
                <w:rFonts w:ascii="Century Gothic" w:hAnsi="Century Gothic" w:cs="Arial"/>
                <w:sz w:val="18"/>
                <w:szCs w:val="18"/>
              </w:rPr>
              <w:t xml:space="preserve"> waste</w:t>
            </w: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61" w:hanging="1761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0.2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2CC" w:themeFill="accent4" w:themeFillTint="33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 x 1.2</w:t>
            </w:r>
          </w:p>
        </w:tc>
      </w:tr>
      <w:tr w:rsidR="00362DEA" w:rsidRPr="00C34895" w:rsidTr="00C34895">
        <w:trPr>
          <w:trHeight w:hRule="exact" w:val="425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Wood 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86" w:hanging="1761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0.43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 x 1.2</w:t>
            </w:r>
          </w:p>
        </w:tc>
      </w:tr>
      <w:tr w:rsidR="00362DEA" w:rsidRPr="00C34895" w:rsidTr="00C34895">
        <w:trPr>
          <w:trHeight w:hRule="exact" w:val="425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Textiles</w:t>
            </w:r>
            <w:r w:rsidR="00C34895" w:rsidRPr="00C34895">
              <w:rPr>
                <w:rFonts w:ascii="Century Gothic" w:hAnsi="Century Gothic" w:cs="Arial"/>
                <w:sz w:val="18"/>
                <w:szCs w:val="18"/>
              </w:rPr>
              <w:t xml:space="preserve"> (i.e. clothing/fabric)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61" w:hanging="1761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0.24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 x 1.5</w:t>
            </w:r>
          </w:p>
        </w:tc>
      </w:tr>
      <w:tr w:rsidR="00362DEA" w:rsidRPr="00C34895" w:rsidTr="00C34895">
        <w:trPr>
          <w:trHeight w:hRule="exact" w:val="472"/>
        </w:trPr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C34895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0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Inert waste (</w:t>
            </w:r>
            <w:r w:rsidR="00C34895" w:rsidRPr="00C34895">
              <w:rPr>
                <w:rFonts w:ascii="Century Gothic" w:hAnsi="Century Gothic" w:cs="Arial"/>
                <w:sz w:val="18"/>
                <w:szCs w:val="18"/>
              </w:rPr>
              <w:t>e.g.</w:t>
            </w: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 concrete/metal/plastics/glass)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1761" w:hanging="1761"/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794" w:hanging="794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t x 0</w:t>
            </w:r>
          </w:p>
        </w:tc>
      </w:tr>
    </w:tbl>
    <w:p w:rsidR="00362DEA" w:rsidRPr="00C34895" w:rsidRDefault="00362DEA" w:rsidP="00362DEA">
      <w:pPr>
        <w:pStyle w:val="BodyText"/>
        <w:tabs>
          <w:tab w:val="left" w:pos="0"/>
          <w:tab w:val="left" w:pos="2250"/>
        </w:tabs>
        <w:spacing w:before="120" w:after="0" w:line="312" w:lineRule="auto"/>
        <w:ind w:left="0"/>
        <w:rPr>
          <w:rFonts w:ascii="Century Gothic" w:hAnsi="Century Gothic" w:cs="Arial"/>
          <w:szCs w:val="18"/>
        </w:rPr>
      </w:pPr>
      <w:r w:rsidRPr="00C34895">
        <w:rPr>
          <w:rFonts w:ascii="Century Gothic" w:hAnsi="Century Gothic" w:cs="Arial"/>
          <w:szCs w:val="18"/>
        </w:rPr>
        <w:t>The emission factors in column B of Table 42 have been calculated according to the default variables detailed in Table 43 and the following formula:</w:t>
      </w:r>
    </w:p>
    <w:p w:rsidR="00362DEA" w:rsidRPr="00C34895" w:rsidRDefault="00362DEA" w:rsidP="00362DEA">
      <w:pPr>
        <w:autoSpaceDE w:val="0"/>
        <w:autoSpaceDN w:val="0"/>
        <w:adjustRightInd w:val="0"/>
        <w:ind w:left="0"/>
        <w:rPr>
          <w:rFonts w:ascii="Century Gothic" w:hAnsi="Century Gothic" w:cs="ArialMT"/>
          <w:lang w:eastAsia="en-AU"/>
        </w:rPr>
      </w:pPr>
    </w:p>
    <w:p w:rsidR="00362DEA" w:rsidRPr="00C34895" w:rsidRDefault="00362DEA" w:rsidP="00362DEA">
      <w:pPr>
        <w:autoSpaceDE w:val="0"/>
        <w:autoSpaceDN w:val="0"/>
        <w:adjustRightInd w:val="0"/>
        <w:ind w:left="0"/>
        <w:rPr>
          <w:rFonts w:ascii="Century Gothic" w:hAnsi="Century Gothic" w:cs="ArialMT"/>
          <w:lang w:eastAsia="en-AU"/>
        </w:rPr>
      </w:pPr>
      <w:r w:rsidRPr="00C34895">
        <w:rPr>
          <w:rFonts w:ascii="Century Gothic" w:hAnsi="Century Gothic" w:cs="ArialMT"/>
          <w:lang w:eastAsia="en-AU"/>
        </w:rPr>
        <w:t>GHG Emissions (t CO</w:t>
      </w:r>
      <w:r w:rsidRPr="00C34895">
        <w:rPr>
          <w:rFonts w:ascii="Century Gothic" w:hAnsi="Century Gothic" w:cs="ArialMT"/>
          <w:sz w:val="13"/>
          <w:szCs w:val="13"/>
          <w:lang w:eastAsia="en-AU"/>
        </w:rPr>
        <w:t>2</w:t>
      </w:r>
      <w:r w:rsidRPr="00C34895">
        <w:rPr>
          <w:rFonts w:ascii="Century Gothic" w:hAnsi="Century Gothic" w:cs="ArialMT"/>
          <w:lang w:eastAsia="en-AU"/>
        </w:rPr>
        <w:t xml:space="preserve">-e) = </w:t>
      </w:r>
      <w:proofErr w:type="gramStart"/>
      <w:r w:rsidRPr="00C34895">
        <w:rPr>
          <w:rFonts w:ascii="Century Gothic" w:hAnsi="Century Gothic" w:cs="ArialMT"/>
          <w:lang w:eastAsia="en-AU"/>
        </w:rPr>
        <w:t>[ (</w:t>
      </w:r>
      <w:proofErr w:type="gramEnd"/>
      <w:r w:rsidRPr="00C34895">
        <w:rPr>
          <w:rFonts w:ascii="Century Gothic" w:hAnsi="Century Gothic" w:cs="ArialMT"/>
          <w:lang w:eastAsia="en-AU"/>
        </w:rPr>
        <w:t xml:space="preserve"> ( Q x DOC x DOC</w:t>
      </w:r>
      <w:r w:rsidRPr="00C34895">
        <w:rPr>
          <w:rFonts w:ascii="Century Gothic" w:hAnsi="Century Gothic" w:cs="ArialMT"/>
          <w:sz w:val="13"/>
          <w:szCs w:val="13"/>
          <w:lang w:eastAsia="en-AU"/>
        </w:rPr>
        <w:t xml:space="preserve">F </w:t>
      </w:r>
      <w:r w:rsidRPr="00C34895">
        <w:rPr>
          <w:rFonts w:ascii="Century Gothic" w:hAnsi="Century Gothic" w:cs="ArialMT"/>
          <w:lang w:eastAsia="en-AU"/>
        </w:rPr>
        <w:t>x F</w:t>
      </w:r>
      <w:r w:rsidRPr="00C34895">
        <w:rPr>
          <w:rFonts w:ascii="Century Gothic" w:hAnsi="Century Gothic" w:cs="ArialMT"/>
          <w:sz w:val="13"/>
          <w:szCs w:val="13"/>
          <w:lang w:eastAsia="en-AU"/>
        </w:rPr>
        <w:t xml:space="preserve">1 </w:t>
      </w:r>
      <w:r w:rsidRPr="00C34895">
        <w:rPr>
          <w:rFonts w:ascii="Century Gothic" w:hAnsi="Century Gothic" w:cs="ArialMT"/>
          <w:lang w:eastAsia="en-AU"/>
        </w:rPr>
        <w:t>x 1.336 ) – R ) x ( 1 – OX ) ] x 21</w:t>
      </w:r>
    </w:p>
    <w:p w:rsidR="00362DEA" w:rsidRPr="00C34895" w:rsidRDefault="00362DEA" w:rsidP="00362DEA">
      <w:pPr>
        <w:pStyle w:val="Caption"/>
        <w:rPr>
          <w:rFonts w:ascii="Century Gothic" w:hAnsi="Century Gothic"/>
        </w:rPr>
      </w:pPr>
    </w:p>
    <w:p w:rsidR="00362DEA" w:rsidRPr="00C34895" w:rsidRDefault="00362DEA" w:rsidP="00362DEA">
      <w:pPr>
        <w:pStyle w:val="Caption"/>
        <w:rPr>
          <w:rFonts w:ascii="Century Gothic" w:hAnsi="Century Gothic"/>
        </w:rPr>
      </w:pPr>
      <w:bookmarkStart w:id="2" w:name="_Toc391646728"/>
      <w:bookmarkStart w:id="3" w:name="_Toc406754630"/>
      <w:r w:rsidRPr="00C34895">
        <w:rPr>
          <w:rFonts w:ascii="Century Gothic" w:hAnsi="Century Gothic"/>
        </w:rPr>
        <w:t>Table 43:  Waste variables and default values</w:t>
      </w:r>
      <w:bookmarkEnd w:id="2"/>
      <w:bookmarkEnd w:id="3"/>
    </w:p>
    <w:tbl>
      <w:tblPr>
        <w:tblW w:w="10284" w:type="dxa"/>
        <w:tblInd w:w="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779"/>
        <w:gridCol w:w="8505"/>
      </w:tblGrid>
      <w:tr w:rsidR="00362DEA" w:rsidRPr="00C34895" w:rsidTr="00C34895">
        <w:trPr>
          <w:trHeight w:hRule="exact" w:val="369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2" w:color="auto" w:fill="auto"/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b/>
                <w:bCs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b/>
                <w:bCs/>
                <w:sz w:val="18"/>
                <w:szCs w:val="18"/>
              </w:rPr>
              <w:t>Default values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Q (Activity)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Quantity of municipal solid waste expressed in tonnes and sourced from waste records or contractor invoices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DOC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Degradable Organic Carbon expressed as a proportion of the particular waste type and contained in Table 42.  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DOC</w:t>
            </w: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  <w:vertAlign w:val="subscript"/>
              </w:rPr>
              <w:t>F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Fraction of degradable organic carbon dissimilated for the waste type produced with default values as follows: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Food – 0.84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Paper and cardboard – 0.49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Garden and green – 0.47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Wood – 0.23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Textiles – 0.5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Sludge – 0.5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Nappies – 0.5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Rubber and leather – 0.5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Style w:val="norm1"/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Inert waste, including concrete, metal, plastic and glass – 0.0</w:t>
            </w:r>
          </w:p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Style w:val="norm1"/>
                <w:rFonts w:ascii="Century Gothic" w:hAnsi="Century Gothic" w:cs="Arial"/>
                <w:sz w:val="18"/>
                <w:szCs w:val="18"/>
              </w:rPr>
              <w:t>Alternative waste treatment residues – 0.5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proofErr w:type="spellStart"/>
            <w:r w:rsidRPr="00C34895">
              <w:rPr>
                <w:rFonts w:ascii="Century Gothic" w:hAnsi="Century Gothic" w:cs="Arial"/>
                <w:sz w:val="18"/>
                <w:szCs w:val="18"/>
              </w:rPr>
              <w:t>F</w:t>
            </w:r>
            <w:r w:rsidRPr="00C34895">
              <w:rPr>
                <w:rFonts w:ascii="Century Gothic" w:hAnsi="Century Gothic" w:cs="Arial"/>
                <w:sz w:val="18"/>
                <w:szCs w:val="18"/>
                <w:vertAlign w:val="subscript"/>
              </w:rPr>
              <w:t>l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Methane fraction of landfill gas which has a default value of 0.50 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1.336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Conversion rate of carbon to methane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R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Recovered methane during the year, measured/expressed in tonnes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OX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Oxidation factor which has a default value of 0.1 for covered, well-managed landfills (and a value of 0 for uncovered landfills) </w:t>
            </w:r>
          </w:p>
        </w:tc>
      </w:tr>
      <w:tr w:rsidR="00362DEA" w:rsidRPr="00C34895" w:rsidTr="00C34895">
        <w:trPr>
          <w:trHeight w:val="284"/>
        </w:trPr>
        <w:tc>
          <w:tcPr>
            <w:tcW w:w="1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21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62DEA" w:rsidRPr="00C34895" w:rsidRDefault="00362DEA" w:rsidP="00595DF6">
            <w:pPr>
              <w:pStyle w:val="BodyText"/>
              <w:tabs>
                <w:tab w:val="left" w:pos="0"/>
                <w:tab w:val="left" w:pos="2250"/>
              </w:tabs>
              <w:spacing w:before="120" w:after="0" w:line="312" w:lineRule="auto"/>
              <w:ind w:left="511"/>
              <w:rPr>
                <w:rFonts w:ascii="Century Gothic" w:hAnsi="Century Gothic" w:cs="Arial"/>
                <w:sz w:val="18"/>
                <w:szCs w:val="18"/>
              </w:rPr>
            </w:pPr>
            <w:r w:rsidRPr="00C34895">
              <w:rPr>
                <w:rFonts w:ascii="Century Gothic" w:hAnsi="Century Gothic" w:cs="Arial"/>
                <w:sz w:val="18"/>
                <w:szCs w:val="18"/>
              </w:rPr>
              <w:t>CH</w:t>
            </w:r>
            <w:r w:rsidRPr="00C34895">
              <w:rPr>
                <w:rFonts w:ascii="Century Gothic" w:hAnsi="Century Gothic" w:cs="Arial"/>
                <w:sz w:val="18"/>
                <w:szCs w:val="18"/>
                <w:vertAlign w:val="subscript"/>
              </w:rPr>
              <w:t>4</w:t>
            </w:r>
            <w:r w:rsidRPr="00C34895">
              <w:rPr>
                <w:rFonts w:ascii="Century Gothic" w:hAnsi="Century Gothic" w:cs="Arial"/>
                <w:sz w:val="18"/>
                <w:szCs w:val="18"/>
              </w:rPr>
              <w:t xml:space="preserve"> global warming potential used to convert the quantity of methane emitted to CO</w:t>
            </w:r>
            <w:r w:rsidRPr="00C34895">
              <w:rPr>
                <w:rFonts w:ascii="Century Gothic" w:hAnsi="Century Gothic" w:cs="Arial"/>
                <w:sz w:val="18"/>
                <w:szCs w:val="18"/>
                <w:vertAlign w:val="subscript"/>
              </w:rPr>
              <w:t>2</w:t>
            </w:r>
            <w:r w:rsidRPr="00C34895">
              <w:rPr>
                <w:rFonts w:ascii="Century Gothic" w:hAnsi="Century Gothic" w:cs="Arial"/>
                <w:sz w:val="18"/>
                <w:szCs w:val="18"/>
              </w:rPr>
              <w:t>-e from the quantity of waste produced</w:t>
            </w:r>
          </w:p>
        </w:tc>
      </w:tr>
    </w:tbl>
    <w:p w:rsidR="00F275FF" w:rsidRPr="00C34895" w:rsidRDefault="00F275FF" w:rsidP="00362DEA">
      <w:pPr>
        <w:ind w:left="0"/>
        <w:rPr>
          <w:rFonts w:ascii="Century Gothic" w:hAnsi="Century Gothic"/>
        </w:rPr>
      </w:pPr>
      <w:bookmarkStart w:id="4" w:name="_GoBack"/>
      <w:bookmarkEnd w:id="4"/>
    </w:p>
    <w:sectPr w:rsidR="00F275FF" w:rsidRPr="00C34895" w:rsidSect="00A03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F1BE6"/>
    <w:multiLevelType w:val="hybridMultilevel"/>
    <w:tmpl w:val="0F442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EA"/>
    <w:rsid w:val="001D0E6B"/>
    <w:rsid w:val="0030642A"/>
    <w:rsid w:val="00362DEA"/>
    <w:rsid w:val="00A039A7"/>
    <w:rsid w:val="00C34895"/>
    <w:rsid w:val="00F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07D7B-0393-4304-AD5F-529864B3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DEA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362DEA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uiPriority w:val="99"/>
    <w:rsid w:val="00362DEA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BodyText"/>
    <w:autoRedefine/>
    <w:uiPriority w:val="99"/>
    <w:qFormat/>
    <w:rsid w:val="00362DEA"/>
    <w:pPr>
      <w:keepNext/>
      <w:spacing w:before="120" w:after="60" w:line="220" w:lineRule="atLeast"/>
      <w:ind w:left="0"/>
    </w:pPr>
    <w:rPr>
      <w:rFonts w:ascii="Arial" w:hAnsi="Arial"/>
    </w:rPr>
  </w:style>
  <w:style w:type="character" w:customStyle="1" w:styleId="norm1">
    <w:name w:val="norm1"/>
    <w:basedOn w:val="DefaultParagraphFont"/>
    <w:uiPriority w:val="99"/>
    <w:rsid w:val="00362DEA"/>
    <w:rPr>
      <w:rFonts w:ascii="Times New Roman" w:hAnsi="Times New Roman" w:cs="Times New Roman"/>
      <w:color w:val="000000"/>
    </w:rPr>
  </w:style>
  <w:style w:type="paragraph" w:customStyle="1" w:styleId="Table">
    <w:name w:val="Table"/>
    <w:basedOn w:val="Normal"/>
    <w:uiPriority w:val="99"/>
    <w:rsid w:val="00362DEA"/>
    <w:pPr>
      <w:tabs>
        <w:tab w:val="left" w:pos="180"/>
      </w:tabs>
      <w:spacing w:before="60" w:line="312" w:lineRule="auto"/>
      <w:ind w:left="0"/>
    </w:pPr>
    <w:rPr>
      <w:rFonts w:ascii="Arial" w:hAnsi="Arial" w:cs="Arial"/>
      <w:sz w:val="16"/>
    </w:rPr>
  </w:style>
  <w:style w:type="paragraph" w:customStyle="1" w:styleId="TableCentre">
    <w:name w:val="TableCentre"/>
    <w:basedOn w:val="Table"/>
    <w:uiPriority w:val="99"/>
    <w:rsid w:val="00362DEA"/>
    <w:pPr>
      <w:jc w:val="center"/>
    </w:pPr>
  </w:style>
  <w:style w:type="character" w:customStyle="1" w:styleId="Subscript">
    <w:name w:val="Subscript"/>
    <w:rsid w:val="00362DEA"/>
    <w:rPr>
      <w:color w:val="auto"/>
      <w:sz w:val="20"/>
      <w:vertAlign w:val="subscript"/>
    </w:rPr>
  </w:style>
  <w:style w:type="character" w:customStyle="1" w:styleId="st">
    <w:name w:val="st"/>
    <w:basedOn w:val="DefaultParagraphFont"/>
    <w:rsid w:val="00362DEA"/>
  </w:style>
  <w:style w:type="character" w:styleId="Emphasis">
    <w:name w:val="Emphasis"/>
    <w:basedOn w:val="DefaultParagraphFont"/>
    <w:uiPriority w:val="20"/>
    <w:qFormat/>
    <w:rsid w:val="00362DEA"/>
    <w:rPr>
      <w:i/>
      <w:iCs/>
    </w:rPr>
  </w:style>
  <w:style w:type="character" w:styleId="Hyperlink">
    <w:name w:val="Hyperlink"/>
    <w:basedOn w:val="DefaultParagraphFont"/>
    <w:uiPriority w:val="99"/>
    <w:unhideWhenUsed/>
    <w:rsid w:val="00F275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atchmywaste.com.au/food-waste-greenhouse-gas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505A6C5E.dotm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Phillipa Schliebs</dc:creator>
  <cp:keywords/>
  <dc:description/>
  <cp:lastModifiedBy>Phillipa Schliebs</cp:lastModifiedBy>
  <cp:revision>2</cp:revision>
  <dcterms:created xsi:type="dcterms:W3CDTF">2015-12-16T21:32:00Z</dcterms:created>
  <dcterms:modified xsi:type="dcterms:W3CDTF">2015-12-16T21:32:00Z</dcterms:modified>
</cp:coreProperties>
</file>