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ChapterTitle"/>
        <w:pageBreakBefore/>
        <w:keepNext/>
      </w:pPr>
      <w:r>
        <w:t>CHAPTER 2</w:t>
      </w:r>
    </w:p>
    <w:p>
      <w:pPr>
        <w:pStyle w:val="ChapterTitle"/>
        <w:keepNext/>
      </w:pPr>
      <w:r>
        <w:t>REVIEW OF RELATED LITERATURE AND STUDIES</w:t>
      </w:r>
    </w:p>
    <w:p>
      <w:pPr>
        <w:pStyle w:val="Heading1"/>
        <w:keepNext/>
      </w:pPr>
      <w:r>
        <w:t>2.1 Introduction</w:t>
      </w:r>
    </w:p>
    <w:p>
      <w:pPr>
        <w:pStyle w:val="Normal"/>
      </w:pPr>
      <w:r>
        <w:t>The rapid improvement of image-generation systems has made visual authenticity classification increasingly difficult. Modern generative models can reproduce realistic color, texture, composition, and lighting, while images encountered in practice may also be resized, compressed, or otherwise transformed after generation. These conditions weaken detectors that depend on artifacts tied to a particular generator or dataset. Large benchmarks and recent detector studies therefore treat data diversity, generalization, and realistic evaluation as central problems in AI-generated image detection (Li et al., 2025; Park &amp; Owens, 2025; Zhu et al., 2023).</w:t>
      </w:r>
    </w:p>
    <w:p>
      <w:pPr>
        <w:pStyle w:val="Normal"/>
      </w:pPr>
      <w:r>
        <w:t>Text-containing images form a particularly relevant case because written content introduces structured visual elements that differ from ordinary objects and backgrounds. Letters and symbols contain strokes, edges, repeated shapes, internal spaces, alignment patterns, and local contrast relationships. A text-rich image may also contain several text regions that vary in size, orientation, density, and visual quality. These properties create a possible source of authenticity evidence, but they also create a difficult detection setting. TextFake, a recent preprint benchmark devoted to text-rich images, reports that detector performance changes with text density, scene type, rendering fidelity, and image perturbations (Zhang et al., 2026). Its findings indicate that text should not be treated as an incidental part of the image; the visual construction of text regions deserves direct study.</w:t>
      </w:r>
    </w:p>
    <w:p>
      <w:pPr>
        <w:pStyle w:val="Normal"/>
      </w:pPr>
      <w:r>
        <w:t xml:space="preserve">The present research examines whether nonsemantic visual measurements extracted from localized text regions can support binary classification of AI-generated and real text-containing images. In this chapter, </w:t>
      </w:r>
      <w:r>
        <w:rPr>
          <w:i/>
        </w:rPr>
        <w:t>real</w:t>
      </w:r>
      <w:r>
        <w:t xml:space="preserve"> refers operationally to images classified by the dataset criteria as non-AI-generated; the term does not by itself mean unedited, camera-native, or free from ordinary image processing. Text localization and authenticity classification have different functions in the proposed pipeline. A text detector identifies the areas from which evidence will be measured, whereas the classifier uses the resulting image-level feature vector to predict the image class. Recognized words, spelling, language, and semantic meaning are outside this feature space. This distinction allows the research to focus on how text is visually rendered rather than what the text communicates.</w:t>
      </w:r>
    </w:p>
    <w:p>
      <w:pPr>
        <w:pStyle w:val="Normal"/>
      </w:pPr>
      <w:r>
        <w:t>This chapter reviews the literature that establishes the basis and boundary of that approach. It first discusses current AI-generated image detection methods and their generalization limits. It then reviews text-rich image data, text-region localization, candidate visual feature families, traditional machine-learning classifiers, evaluation reliability, and the role of a research prototype. The chapter integrates these themes to identify the research gap and present an Input–Process–Output conceptual framework. Recent peer-reviewed studies are prioritized, while older works are included when they provide the foundations of text localization, handcrafted features, classifiers, or evaluation practice.</w:t>
      </w:r>
    </w:p>
    <w:p>
      <w:pPr>
        <w:pStyle w:val="Heading1"/>
        <w:keepNext/>
      </w:pPr>
      <w:r>
        <w:t>2.2 AI-Generated Image Detection</w:t>
      </w:r>
    </w:p>
    <w:p>
      <w:pPr>
        <w:pStyle w:val="Normal"/>
      </w:pPr>
      <w:r>
        <w:t>AI-generated image detection is commonly formulated as a binary classification task in which a detector separates generated images from real images. GenImage established a large benchmark for this task and included evaluation settings involving generators and image degradations that differ from those observed during training (Zhu et al., 2023). This benchmark reflects a major concern in the field: a detector can perform well on a familiar source while learning generator-specific, content-specific, or processing-specific shortcuts that fail under a changed data distribution. High performance within one dataset is therefore evidence of effectiveness only under the conditions represented by that dataset.</w:t>
      </w:r>
    </w:p>
    <w:p>
      <w:pPr>
        <w:pStyle w:val="Normal"/>
      </w:pPr>
      <w:r>
        <w:t>One response to this concern is to learn representations that transfer across generators. Ojha et al. (2023) used features from a pretrained vision-language model and examined nearest-neighbor and linear-classification approaches for detecting images from generative models that were not used to train the detector. Their work demonstrates the value of representations learned from broad visual data, but it also represents a different design philosophy from an interpretable handcrafted-feature pipeline. Community Forensics addresses the same generalization problem through training-data diversity. Park and Owens (2025) assembled 2.7 million images from 4,803 generative models and found that performance improved as the number and diversity of training generators increased. Together, these studies show that detector behavior depends not only on the selected algorithm but also on the range of generator sources represented in the data.</w:t>
      </w:r>
    </w:p>
    <w:p>
      <w:pPr>
        <w:pStyle w:val="Normal"/>
      </w:pPr>
      <w:r>
        <w:t>Other research examines bias within detector training. Gye et al. (2025) argued that detectors may rely on content differences between real and generated classes rather than forensic evidence of generation. Their SFLD method uses patch shuffling and a paired benchmark called TwinSynths to reduce content bias and evaluate performance across generators and degradations. The result is directly relevant to dataset construction for the present study. If one class contains different topics, layouts, or sources from the other, a classifier may learn those differences instead of the visual formation of text. A defensible comparison therefore requires balanced or otherwise controlled content categories and careful documentation of image provenance.</w:t>
      </w:r>
    </w:p>
    <w:p>
      <w:pPr>
        <w:pStyle w:val="Normal"/>
      </w:pPr>
      <w:r>
        <w:t>The need for multiple levels of evidence is also emphasized by AIDE. Yan et al. (2025) introduced a challenging benchmark and reported that established detectors frequently failed on difficult real and generated images. Their proposed approach combines low-level information with higher-level semantic representations. The semantic component falls outside the present research, which excludes recognized content and meaning, but AIDE is still important because it demonstrates that no single cue should automatically be assumed sufficient. In the proposed study, this lesson supports the use of several complementary visual feature families—such as strokes, geometry, edges, gradients, texture, contrast, and sharpness—rather than one isolated measurement.</w:t>
      </w:r>
    </w:p>
    <w:p>
      <w:pPr>
        <w:pStyle w:val="Normal"/>
      </w:pPr>
      <w:r>
        <w:t>Recent forensic methods also illustrate the range of signals available at the whole-image level. LGrad represents learned gradient patterns to capture generative artifacts (Tan et al., 2023), while NPR focuses on neighboring-pixel relationships associated with upsampling operations (Tan et al., 2024). Deep Image Fingerprint learns representations for synthetic-image detection and generator lineage analysis under constrained training conditions (Sinitsa &amp; Fried, 2024). These methods indicate that local intensity transitions and spatial relationships can contain origin-related evidence. However, they learn deep representations across images and do not determine whether interpretable measurements from localized text regions are sufficient for classification.</w:t>
      </w:r>
    </w:p>
    <w:p>
      <w:pPr>
        <w:pStyle w:val="Normal"/>
      </w:pPr>
      <w:r>
        <w:t>Reconstruction-based methods follow a different principle. DIRE measures the reconstruction error produced when an image is processed by a diffusion model (Wang et al., 2023). AEROBLADE detects images from latent-diffusion systems through autoencoder reconstruction behavior without detector training (Ricker et al., 2024). Such approaches can be effective when their assumptions match the image source, but they require access to an appropriate reconstruction model and are linked to diffusion-model behavior. The present study instead asks whether a fixed set of directly measurable text-region properties can support conventional classifiers without reconstructing the image or using a large learned visual encoder.</w:t>
      </w:r>
    </w:p>
    <w:p>
      <w:pPr>
        <w:pStyle w:val="Normal"/>
      </w:pPr>
      <w:r>
        <w:t>The reviewed studies establish three points. First, AI-generated image detection is feasible, but its measured performance is conditional on data sources, generator coverage, and post-processing. Second, low-level local information remains relevant even when it is combined with learned or semantic features. Third, existing methods primarily operate on whole-image representations, learned patches, or model-dependent reconstruction signals. These findings justify investigating text regions as a deliberately selected forensic area and testing whether their visual properties can be transformed into an interpretable image-level representation.</w:t>
      </w:r>
    </w:p>
    <w:p>
      <w:pPr>
        <w:pStyle w:val="Normal"/>
      </w:pPr>
      <w:r>
        <w:t>The broader literature also defines a boundary for the present research. Cross-generator testing, cross-dataset transfer, transmission degradation, and re-digitization are valuable tests of real-world reliability (Li et al., 2025; Zhu et al., 2023). However, they are not part of the initial experimental scope defined in Chapter 1. This chapter therefore uses them to identify threats to external validity and appropriate future work, rather than to create additional success criteria for the current experiment. The study will evaluate the proposed representation and classifiers within its specified data and split design; it will not describe within-scope results as proof of universal detector performance.</w:t>
      </w:r>
    </w:p>
    <w:p>
      <w:pPr>
        <w:pStyle w:val="Heading1"/>
        <w:keepNext/>
      </w:pPr>
      <w:r>
        <w:t>2.3 Text-Rich Images and Data</w:t>
      </w:r>
    </w:p>
    <w:p>
      <w:pPr>
        <w:pStyle w:val="Normal"/>
      </w:pPr>
      <w:r>
        <w:t>The direct literature on AI-generated text-rich images remains smaller than the general literature on synthetic-image detection. TextFake is the closest benchmark to the present problem. The preprint contains 20,000 text-rich images covering multiple languages, topics, and image modalities and evaluates conventional detectors and commercial vision-language systems (Zhang et al., 2026). The authors report that no evaluated method consistently resolves the task, and they identify relationships among text density, rendering quality, decision thresholds, and detector performance. Because TextFake was available only as an arXiv preprint at the time of this review, its results should be interpreted cautiously. Nevertheless, it provides direct evidence that text-rich image detection has distinct conditions that broad natural-image benchmarks may not represent.</w:t>
      </w:r>
    </w:p>
    <w:p>
      <w:pPr>
        <w:pStyle w:val="Normal"/>
      </w:pPr>
      <w:r>
        <w:t>General synthetic-image datasets offer useful design precedents but cannot automatically serve as evidence for text-specific performance. CIFAKE presents a binary dataset and an explainable convolutional approach for separating real and synthetic natural images (Bird &amp; Lotfi, 2024). GenImage provides much greater scale and generator diversity and formalizes cross-generator and degraded-image evaluation tasks (Zhu et al., 2023). These works demonstrate how labels, generator sources, and evaluation partitions can be organized. Their images, however, were not built specifically around the measurable geometry and appearance of written text. A model that succeeds on general objects and scenes may rely on evidence that is absent, altered, or overshadowed in text-rich compositions.</w:t>
      </w:r>
    </w:p>
    <w:p>
      <w:pPr>
        <w:pStyle w:val="Normal"/>
      </w:pPr>
      <w:r>
        <w:t>Data provenance is therefore a methodological part of the research rather than an administrative detail. Each image should have a defensible class label, source record, and inclusion status. AI-generated images require documented generator provenance or another reliable labeling basis, while real images require a source whose acquisition process is consistent with the operational definition used in Chapter 1. Duplicate and near-duplicate files can create leakage if visually equivalent examples occur in both training and test sets. Derived versions of one source image also remain related observations even when their dimensions or compression differ. These relationships should be identified before partitioning so that a classifier is not rewarded for recognizing a source image it has effectively seen during training.</w:t>
      </w:r>
    </w:p>
    <w:p>
      <w:pPr>
        <w:pStyle w:val="Normal"/>
      </w:pPr>
      <w:r>
        <w:t>Content composition must also be considered. Community Forensics shows that the diversity of generators represented in training affects generalization (Park &amp; Owens, 2025), while SFLD demonstrates how unequal content distributions can become a misleading classification signal (Gye et al., 2025). For text-containing images, analogous confounds may include topic, background style, font family, text amount, resolution, graphic-design category, and acquisition source. If, for example, most generated samples are posters while most real samples are street photographs, the classifier could separate layout categories instead of authenticity. Dataset preparation should consequently document and, where feasible, balance or stratify salient categories across the two labels.</w:t>
      </w:r>
    </w:p>
    <w:p>
      <w:pPr>
        <w:pStyle w:val="Normal"/>
      </w:pPr>
      <w:r>
        <w:t>The definition of a text-containing image must be operationalized before feature extraction. A minimal readable-text condition alone may admit cases with a single tiny label, while a strict text-area threshold may overrepresent posters or documents. TextFake indicates that text density itself changes task difficulty (Zhang et al., 2026). For the present research, density is both a dataset characteristic and a candidate feature. The inclusion criteria and the distribution of text coverage should therefore be reported so that density-related findings can be separated from an accidental sampling difference between classes.</w:t>
      </w:r>
    </w:p>
    <w:p>
      <w:pPr>
        <w:pStyle w:val="Normal"/>
      </w:pPr>
      <w:r>
        <w:t>Preprocessing should preserve the visual properties that the study intends to measure. Uncontrolled resizing, smoothing, sharpening, color conversion, or compression can change stroke widths, gradients, texture, and blur. At the same time, images with different dimensions require a consistent processing strategy. The selected procedure should specify when normalization occurs, whether aspect ratio is preserved, how color and grayscale representations are used, and which operations occur before or after text localization. Parameters estimated from data must be fitted using training data only. This principle prevents information from the validation or test set from influencing the representation or classifier.</w:t>
      </w:r>
    </w:p>
    <w:p>
      <w:pPr>
        <w:pStyle w:val="Normal"/>
      </w:pPr>
      <w:r>
        <w:t>These data requirements do not imply that the proposed dataset represents every generator, language, or image-transmission condition. They establish the conditions under which the experiment can answer its actual question: whether selected visual text-region features distinguish the two classes in a controlled dataset. The dataset description should make its coverage and exclusions explicit. Broader claims would require later testing on new generators, external datasets, altered images, and additional categories of text-rich content.</w:t>
      </w:r>
    </w:p>
    <w:p>
      <w:pPr>
        <w:pStyle w:val="Heading1"/>
        <w:keepNext/>
      </w:pPr>
      <w:r>
        <w:t>2.4 Text-Region Detection</w:t>
      </w:r>
    </w:p>
    <w:p>
      <w:pPr>
        <w:pStyle w:val="Normal"/>
      </w:pPr>
      <w:r>
        <w:t>Text-region detection identifies the spatial areas in an image that contain written characters or words. In the proposed pipeline, this stage determines where visual features will be computed. It does not determine image authenticity, and it does not require the transcription of the detected content. This separation is essential because an optical character recognition system often combines localization and recognition, whereas the present research needs only the localization output. Boxes, polygons, masks, or character-level response maps can define text regions without converting their pixels into words.</w:t>
      </w:r>
    </w:p>
    <w:p>
      <w:pPr>
        <w:pStyle w:val="Normal"/>
      </w:pPr>
      <w:r>
        <w:t>The Stroke Width Transform introduced a foundational handcrafted method for detecting text in natural scenes. Epshtein et al. (2010) observed that characters tend to contain strokes with relatively consistent widths and used this property to group likely text components. Although the method was designed for localization, its underlying observation is also relevant to feature design: stroke-width statistics describe the internal regularity of rendered characters. The method is older than current neural text detectors, but it provides a clear, interpretable link between character construction and a measurable regional property.</w:t>
      </w:r>
    </w:p>
    <w:p>
      <w:pPr>
        <w:pStyle w:val="Normal"/>
      </w:pPr>
      <w:r>
        <w:t>CRAFT introduced a learned approach based on character-region and character-affinity scores (Baek et al., 2019). Rather than treating an entire word as one rigid rectangle, CRAFT estimates character areas and the relationships that connect them. This design is useful for irregular, curved, or separated text, and its outputs may preserve finer spatial information than coarse word boxes. For the present study, CRAFT is a candidate localization method because character-aware regions can support measurements of spacing, alignment, and shape. Its use would still be limited to locating pixels; recognition scores or decoded text would not enter the classifier.</w:t>
      </w:r>
    </w:p>
    <w:p>
      <w:pPr>
        <w:pStyle w:val="Normal"/>
      </w:pPr>
      <w:r>
        <w:t>Later methods improve boundary handling and efficiency. The Adaptive Boundary Proposal Network refines proposals for arbitrary-shaped scene text and is relevant when text does not follow horizontal rectangular layouts (Zhang et al., 2021). DBNet++ uses differentiable binarization and adaptive scale fusion to produce efficient detections across text scales (Liao et al., 2023). These methods demonstrate a tradeoff among localization detail, computational cost, model availability, and ease of integration. A highly complex detector is not automatically preferable if a simpler method produces stable regions for the target dataset.</w:t>
      </w:r>
    </w:p>
    <w:p>
      <w:pPr>
        <w:pStyle w:val="Normal"/>
      </w:pPr>
      <w:r>
        <w:t>Localization quality directly affects all downstream features. A region that excludes portions of characters can underestimate stroke thickness or break contour measurements. A region that includes extensive background can distort contrast, texture, edge density, and sharpness. Missed text lowers measured text density and changes the number and distribution of regions. False-positive regions introduce nontext pixels into an image-level feature vector. For this reason, the localization component should be examined on representative images before the full experiment. The chosen detector and threshold should be fixed after this development step so that test results are not used to tune localization.</w:t>
      </w:r>
    </w:p>
    <w:p>
      <w:pPr>
        <w:pStyle w:val="Normal"/>
      </w:pPr>
      <w:r>
        <w:t>The output representation also requires a consistent rule. Rectangular boxes are simple to crop but may include more background around rotated or curved text. Polygonal masks can follow the detected boundary more closely but require extra processing and may produce regions of highly variable shape. Character-level maps support detailed measurements but may be more sensitive to broken detections. The final choice should be based on the dataset and implementation constraints documented in Chapter 3. Regardless of the detector selected, the same localization procedure must be applied to both classes to avoid class-dependent measurement bias.</w:t>
      </w:r>
    </w:p>
    <w:p>
      <w:pPr>
        <w:pStyle w:val="Normal"/>
      </w:pPr>
      <w:r>
        <w:t>Text-region detection thus acts as a controlled region-selection mechanism. It narrows feature extraction to the visual form of text and provides region geometry that can itself be summarized. The authenticity classifier remains a separate stage trained on aggregated numeric features. This modular arrangement makes localization errors observable, supports replacement of the detector during development, and prevents OCR semantics from entering a study intended to measure visual rendering characteristics.</w:t>
      </w:r>
    </w:p>
    <w:p>
      <w:pPr>
        <w:pStyle w:val="Heading1"/>
        <w:keepNext/>
      </w:pPr>
      <w:r>
        <w:t>2.5 Visual Text-Region Features</w:t>
      </w:r>
    </w:p>
    <w:p>
      <w:pPr>
        <w:pStyle w:val="Normal"/>
      </w:pPr>
      <w:r>
        <w:t>The proposed representation combines feature families that describe the presence, geometry, and pixel-level appearance of localized text. The purpose of combining families is not to assume that every feature is an authenticity marker. It is to test whether several interpretable measurements provide complementary evidence when summarized at the image level. Prior work on scene-text detection, document-image quality, image forensics, and synthetic-image detection supplies the rationale for the candidate measurements, while the comparative experiment determines their usefulness for the present dataset.</w:t>
      </w:r>
    </w:p>
    <w:p>
      <w:pPr>
        <w:pStyle w:val="Heading2"/>
        <w:keepNext/>
      </w:pPr>
      <w:r>
        <w:t>2.5.1 Text Density and Region Geometry</w:t>
      </w:r>
    </w:p>
    <w:p>
      <w:pPr>
        <w:pStyle w:val="Normal"/>
      </w:pPr>
      <w:r>
        <w:t>Text density describes how much of an image is occupied by detected text and can be expressed through measures such as the number of regions, total text-region area, proportion of image area covered by text, and distribution of region sizes. These measurements characterize image composition rather than word meaning. They are motivated by the direct observation in TextFake that detector behavior varies with text density (Zhang et al., 2026). However, density must be interpreted carefully because it can also reflect a dataset imbalance. If one class contains more posters, documents, or screenshots, density may identify the source category rather than the image-generation process. It should therefore be evaluated alongside content controls and other regional features.</w:t>
      </w:r>
    </w:p>
    <w:p>
      <w:pPr>
        <w:pStyle w:val="Normal"/>
      </w:pPr>
      <w:r>
        <w:t>Spacing and alignment features describe relationships among regions. Candidate measurements include horizontal and vertical gaps, variation in baseline position, orientation, relative size, and the regularity of region placement. CRAFT’s character-affinity formulation shows that relationships among character regions are useful for describing text structure (Baek et al., 2019), while arbitrary-shape detectors demonstrate that real scene text may depart from a simple horizontal layout (Zhang et al., 2021). In the present study, geometric measurements are intended to capture visible organization without identifying the characters or interpreting the layout semantically.</w:t>
      </w:r>
    </w:p>
    <w:p>
      <w:pPr>
        <w:pStyle w:val="Heading2"/>
        <w:keepNext/>
      </w:pPr>
      <w:r>
        <w:t>2.5.2 Stroke Appearance and Character Shape</w:t>
      </w:r>
    </w:p>
    <w:p>
      <w:pPr>
        <w:pStyle w:val="Normal"/>
      </w:pPr>
      <w:r>
        <w:t>Stroke properties describe the widths and internal consistency of the lines that form characters. The Stroke Width Transform is based on the observation that text components tend to contain approximately consistent stroke widths (Epshtein et al., 2010). Regional summaries may therefore include central tendency and dispersion of estimated stroke widths, the proportion of valid stroke responses, or variation across detected regions. AI generation could alter these patterns through fused, broken, uneven, or locally inconsistent character formation, but this is a hypothesis to be tested rather than an assumed class rule.</w:t>
      </w:r>
    </w:p>
    <w:p>
      <w:pPr>
        <w:pStyle w:val="Normal"/>
      </w:pPr>
      <w:r>
        <w:t>Character-shape features can be derived from contours, connected components, aspect ratios, compactness, solidity, hole structure, or other geometric descriptors computed within localized regions. Such measurements are related to the visual construction of glyph-like elements but do not require mapping them to an alphabet. Because font, language, scale, and image quality also influence shape, no single descriptor can be treated as a universal sign of generation. Combining shape statistics with stroke, texture, and edge features allows the classifier to evaluate relationships among cues instead of relying on a fixed threshold for one measurement.</w:t>
      </w:r>
    </w:p>
    <w:p>
      <w:pPr>
        <w:pStyle w:val="Heading2"/>
        <w:keepNext/>
      </w:pPr>
      <w:r>
        <w:t>2.5.3 Edges, Gradients, Contrast, and Sharpness</w:t>
      </w:r>
    </w:p>
    <w:p>
      <w:pPr>
        <w:pStyle w:val="Normal"/>
      </w:pPr>
      <w:r>
        <w:t>Character boundaries produce strong local transitions between foreground strokes and their surroundings. Gradient magnitude, orientation distributions, edge density, boundary continuity, and local contrast can quantify these transitions. CG-DIQA uses character gradients for no-reference document-image quality assessment, showing that character-centered gradient information reflects visible text degradation (Li et al., 2018). The task differs from authenticity classification, but the study supports measuring character-region gradients and sharpness rather than applying only whole-image quality estimates.</w:t>
      </w:r>
    </w:p>
    <w:p>
      <w:pPr>
        <w:pStyle w:val="Normal"/>
      </w:pPr>
      <w:r>
        <w:t>Research on AI-generated image detection provides a second rationale. LGrad learns representations from image gradients because generative processes can leave distinguishable gradient behavior (Tan et al., 2023). NPR similarly focuses on neighboring-pixel relationships associated with generative upsampling (Tan et al., 2024). These methods do not establish that handcrafted text-region gradient statistics will separate the two classes, but they show that local transitions and adjacent-pixel relationships can contain forensic evidence. The proposed research translates that general insight into explicit measurements limited to detected text areas.</w:t>
      </w:r>
    </w:p>
    <w:p>
      <w:pPr>
        <w:pStyle w:val="Normal"/>
      </w:pPr>
      <w:r>
        <w:t>Contrast and sharpness are related but distinct. Contrast describes intensity separation between strokes and nearby pixels, whereas sharpness describes the abruptness or high-frequency strength of boundaries. Blur estimates can capture the opposite condition. Each can change because of generation, camera focus, antialiasing, resizing, compression, or display recapture. Their evidentiary value must therefore be assessed jointly with other features and within the documented acquisition conditions. A model that depends almost entirely on sharpness, for example, may be identifying source quality rather than image origin.</w:t>
      </w:r>
    </w:p>
    <w:p>
      <w:pPr>
        <w:pStyle w:val="Heading2"/>
        <w:keepNext/>
      </w:pPr>
      <w:r>
        <w:t>2.5.4 Texture and Local Pixel Relationships</w:t>
      </w:r>
    </w:p>
    <w:p>
      <w:pPr>
        <w:pStyle w:val="Normal"/>
      </w:pPr>
      <w:r>
        <w:t>Texture features summarize repeated local intensity or color patterns. Traditional descriptors may represent co-occurrence, local binary patterns, frequency content, entropy, or related statistics, as illustrated by engineered texture-based forensic systems (Asghar et al., 2019; Fu et al., 2022; Greiner &amp; Tuba, 2023). Chai et al. (2020) showed that restricted local patches can contain synthetic-image cues that transfer beyond the training configuration, supporting the general premise that a full semantic scene is not always required for detection. PatchCraft, an arXiv preprint, likewise contrasts texture-rich and texture-poor patches and uses inter-pixel relationships for efficient AI-generated image detection (Zhong et al., 2023). These studies support local texture analysis, although neither specifically proves that text regions are the best locations for such cues.</w:t>
      </w:r>
    </w:p>
    <w:p>
      <w:pPr>
        <w:pStyle w:val="Normal"/>
      </w:pPr>
      <w:r>
        <w:t>Engineered forensic systems also show that texture can work with conventional classifiers. Fu et al. (2022) combined texture and sensor-noise features to detect GAN-generated face images, while Greiner and Tuba (2023) used texture features with a support vector machine for image-forgery detection. Asghar et al. (2019) combined edge and texture information and evaluated transfer across forgery datasets. These settings differ from text-rich images generated by contemporary systems, so their performance cannot be transferred directly. Their relevance lies in demonstrating that interpretable, engineered image features can form a viable classification representation and that cross-domain limits must be acknowledged.</w:t>
      </w:r>
    </w:p>
    <w:p>
      <w:pPr>
        <w:pStyle w:val="Heading2"/>
        <w:keepNext/>
      </w:pPr>
      <w:r>
        <w:t>2.5.5 Region-to-Image Aggregation and Feature Interpretation</w:t>
      </w:r>
    </w:p>
    <w:p>
      <w:pPr>
        <w:pStyle w:val="Normal"/>
      </w:pPr>
      <w:r>
        <w:t>A single image may contain no usable detection, one large region, or many small regions. Traditional classifiers require a fixed-length vector, so variable numbers of regional measurements must be aggregated consistently. Possible summaries include the mean, median, standard deviation, interquartile range, minimum, maximum, and selected percentiles of each regional descriptor, together with region counts and coverage ratios. The exact statistics should be finalized in Chapter 3 and computed identically for both classes. Missing-region cases also require an explicit rule, such as exclusion under the dataset criteria or a documented missing-value representation.</w:t>
      </w:r>
    </w:p>
    <w:p>
      <w:pPr>
        <w:pStyle w:val="Normal"/>
      </w:pPr>
      <w:r>
        <w:t>Aggregation has an interpretive cost. An image-level mean can hide one severely distorted region, while a maximum may overreact to noise or a false detection. Dispersion and percentile summaries can preserve some within-image variation without creating one record per crop. Keeping the image as the unit of classification also prevents crops from the same image from being divided across training and test sets, a practice that would create dependence and potential leakage.</w:t>
      </w:r>
    </w:p>
    <w:p>
      <w:pPr>
        <w:pStyle w:val="Normal"/>
      </w:pPr>
      <w:r>
        <w:t>Feature usefulness should be established through controlled comparison. The complete feature set can be evaluated against grouped subsets such as geometry, stroke and shape, edge and gradient, and texture and quality features. Changes in validation or held-out performance can show whether a group adds predictive information under the study conditions. Coefficients or random-forest importance values may support interpretation, but they should not be described as causal proof. Correlated measurements can share importance, and importance estimates may change with scaling, sampling, or model choice.</w:t>
      </w:r>
    </w:p>
    <w:p>
      <w:pPr>
        <w:pStyle w:val="Normal"/>
      </w:pPr>
      <w:r>
        <w:t>The literature therefore supports the plausibility of the candidate feature families while leaving the central question unresolved. Text localization research explains how structured regions can be isolated; document-quality research connects character gradients to visible quality; and forensic studies show that local texture, edges, gradients, and pixel relationships can distinguish manipulated or generated imagery. What remains to be tested is whether these ideas can be integrated into a nonsemantic text-region representation that supports binary AI-image classification with traditional machine learning.</w:t>
      </w:r>
    </w:p>
    <w:p>
      <w:pPr>
        <w:pStyle w:val="Heading1"/>
        <w:keepNext/>
      </w:pPr>
      <w:r>
        <w:t>2.6 Traditional ML Classifiers</w:t>
      </w:r>
    </w:p>
    <w:p>
      <w:pPr>
        <w:pStyle w:val="Normal"/>
      </w:pPr>
      <w:r>
        <w:t>The proposed study compares logistic regression, support vector machine, and random forest classifiers. These algorithms represent three different decision mechanisms and are suitable for fixed-length tabular features. Using the same image partitions and feature vectors for all three models allows differences in performance to be attributed more clearly to the classifier rather than to different input representations.</w:t>
      </w:r>
    </w:p>
    <w:p>
      <w:pPr>
        <w:pStyle w:val="Normal"/>
      </w:pPr>
      <w:r>
        <w:t>Logistic regression models the probability of a binary outcome as a function of a weighted combination of input variables (Cox, 1958). In this study, it serves as an interpretable linear baseline. The signs and magnitudes of standardized coefficients can indicate how features contribute to the model’s decision under the fitted specification. Its limitation is equally useful: if logistic regression performs substantially below nonlinear models, the relationship between text-region measurements and class may not be adequately represented by a single linear boundary. Regularization and feature scaling should be selected using training and validation data to control instability from correlated features.</w:t>
      </w:r>
    </w:p>
    <w:p>
      <w:pPr>
        <w:pStyle w:val="Normal"/>
      </w:pPr>
      <w:r>
        <w:t>Support vector machines construct a separating boundary by maximizing the margin between classes (Cortes &amp; Vapnik, 1995). A linear SVM provides another strong linear baseline, while a nonlinear kernel can represent interactions and curved boundaries when justified by validation. SVMs have precedent in feature-based image forensics; Greiner and Tuba (2023), for example, paired engineered texture features with an SVM for forgery detection. Because margin-based models are sensitive to feature scale, all continuous inputs must be standardized using parameters derived from the training set only.</w:t>
      </w:r>
    </w:p>
    <w:p>
      <w:pPr>
        <w:pStyle w:val="Normal"/>
      </w:pPr>
      <w:r>
        <w:t>Random forests combine many decision trees trained from resampled data and randomly selected feature subsets (Breiman, 2001). They can capture nonlinear thresholds and interactions without requiring all variables to follow the same scale. This is relevant when, for example, a texture measurement becomes informative only at a certain text density or when low sharpness has different meanings at different region sizes. Random forests also provide feature-importance measures, although these measures can favor certain variable types and can distribute importance unpredictably among correlated features. Their interpretation should therefore be supported by grouped comparisons and model-independent performance evidence.</w:t>
      </w:r>
    </w:p>
    <w:p>
      <w:pPr>
        <w:pStyle w:val="Normal"/>
      </w:pPr>
      <w:r>
        <w:t>The three algorithms provide a useful comparison because they differ in complexity and assumptions while remaining feasible for a student research pipeline. Logistic regression offers a probabilistic linear reference, SVM tests maximum-margin separation, and random forest tests nonlinear combinations of features. None should be designated the final model before evaluation. Hyperparameters must be selected within the training process, and the untouched test set should be used only for the final comparison. This design is consistent with the study’s purpose of evaluating whether the representation works and which conventional classifier best uses it under controlled conditions.</w:t>
      </w:r>
    </w:p>
    <w:p>
      <w:pPr>
        <w:pStyle w:val="Heading1"/>
        <w:keepNext/>
      </w:pPr>
      <w:r>
        <w:t>2.7 Evaluation and Reliability</w:t>
      </w:r>
    </w:p>
    <w:p>
      <w:pPr>
        <w:pStyle w:val="Normal"/>
      </w:pPr>
      <w:r>
        <w:t>Evaluation must answer more than whether the number of correct predictions is high. The proposed study will report accuracy, precision, recall, F1-score, and a confusion matrix. Accuracy summarizes the proportion of all correct predictions. Precision shows how often images predicted as AI-generated are actually labeled AI-generated, while recall shows how many labeled AI-generated images the classifier identifies. F1-score balances precision and recall through their harmonic mean. The confusion matrix exposes the counts of true positives, true negatives, false positives, and false negatives from which these measures are derived.</w:t>
      </w:r>
    </w:p>
    <w:p>
      <w:pPr>
        <w:pStyle w:val="Normal"/>
      </w:pPr>
      <w:r>
        <w:t>The positive class and averaging convention should be stated explicitly. Metric choice matters because measures reward different behavior and may rank classifiers differently (Gösgens et al., 2021). Accuracy can be misleading when one class dominates, while precision and recall reveal class-specific error tradeoffs. Saito and Rehmsmeier (2015) further show why precision–recall analysis is informative under class imbalance. A recent survey of imbalanced learning likewise emphasizes the connection among sampling conditions, learning strategy, and evaluation measures (Chen et al., 2024). Even if the final dataset is approximately balanced, reporting multiple metrics prevents one aggregate number from concealing asymmetric errors.</w:t>
      </w:r>
    </w:p>
    <w:p>
      <w:pPr>
        <w:pStyle w:val="Normal"/>
      </w:pPr>
      <w:r>
        <w:t>Reliable estimates require a separation among model fitting, model selection, and final evaluation. Hyperparameters, classification thresholds, preprocessing choices, and feature-subset decisions must be selected without inspecting test outcomes. Varma and Simon (2006) showed that using the same cross-validation results for both model selection and error estimation produces optimistic bias. A held-out test set, or a properly nested procedure when sample size requires repeated cross-validation, preserves the distinction between development feedback and final evidence.</w:t>
      </w:r>
    </w:p>
    <w:p>
      <w:pPr>
        <w:pStyle w:val="Normal"/>
      </w:pPr>
      <w:r>
        <w:t>Data leakage is another major risk. Kapoor and Narayanan (2023) documented multiple forms of leakage across machine-learning research and showed how information unavailable at deployment can enter model training or evaluation. In image studies, leakage may arise from exact duplicates, near-duplicates, multiple crops from one image, transformed copies, common source templates, or preprocessing parameters fitted on the complete dataset. Tampu et al. (2022) empirically demonstrated that leakage can inflate apparent image-classification accuracy. For the proposed pipeline, all observations derived from one original image must remain in the same partition, and splitting should occur before data-dependent fitting or augmentation that could create linked examples.</w:t>
      </w:r>
    </w:p>
    <w:p>
      <w:pPr>
        <w:pStyle w:val="Normal"/>
      </w:pPr>
      <w:r>
        <w:t>The source of each class also affects reliability. If all AI-generated images come from one generator and all real images come from one website or camera process, a model may learn source fingerprints. Likewise, unequal file formats, dimensions, watermarks, or compression settings can serve as shortcuts. Dataset auditing should compare these variables across labels and either control them or record them as limitations. Content balance deserves the same treatment because content bias can appear as strong but nonforensic performance (Gye et al., 2025).</w:t>
      </w:r>
    </w:p>
    <w:p>
      <w:pPr>
        <w:pStyle w:val="Normal"/>
      </w:pPr>
      <w:r>
        <w:t>Reproducibility strengthens the meaning of the reported results. The final record should specify the dataset inclusion rules, split seed or saved partition, localization model and threshold, preprocessing steps, feature formulas, aggregation rules, classifier settings, software versions, and metric definitions. Pineau et al. (2021) identify transparent reporting of code, data, experimental conditions, and results as central to reproducible machine-learning research. When source images cannot be redistributed, a manifest and acquisition description can still preserve provenance and make the experimental structure auditable.</w:t>
      </w:r>
    </w:p>
    <w:p>
      <w:pPr>
        <w:pStyle w:val="Normal"/>
      </w:pPr>
      <w:r>
        <w:t>Recent benchmarks show why the study’s reliability claims must remain proportional to its tests. GenImage evaluates unseen generators and degraded images (Zhu et al., 2023), while Li et al. (2025) examine scenario generalization, internet transmission, and re-digitization. These are stronger approximations of real-world variation than a single controlled split. Since the initial scope in Chapter 1 does not include those experiments, the proposed evaluation can establish comparative performance within the defined dataset but cannot establish universal robustness. This limitation should appear in the interpretation of results and motivate later external and degradation testing.</w:t>
      </w:r>
    </w:p>
    <w:p>
      <w:pPr>
        <w:pStyle w:val="Heading1"/>
        <w:keepNext/>
      </w:pPr>
      <w:r>
        <w:t>2.8 Systems and Prototype Context</w:t>
      </w:r>
    </w:p>
    <w:p>
      <w:pPr>
        <w:pStyle w:val="Normal"/>
      </w:pPr>
      <w:r>
        <w:t>The primary contribution of the study is the experimental classification pipeline. A software prototype may package that fixed pipeline so that a user can submit a text-containing image, execute the same localization and feature-extraction procedure, apply the selected trained model, and view the prediction. The prototype therefore serves as an implementation and demonstration of the research workflow rather than an independent source of algorithmic evidence.</w:t>
      </w:r>
    </w:p>
    <w:p>
      <w:pPr>
        <w:pStyle w:val="Normal"/>
      </w:pPr>
      <w:r>
        <w:t>MLOps literature provides useful principles for structuring this implementation. Kreuzberger et al. (2023) describe machine-learning systems as coordinated stages involving data, model development, versioning, deployment, monitoring, and responsible roles. Ruf et al. (2021) likewise present a lifecycle and tool-selection process that separates data, model, and system-quality concerns. The present project does not require a production MLOps platform. The applicable lesson is modularity: image input, text localization, preprocessing, feature extraction, aggregation, classification, and result presentation should have explicit interfaces and saved configurations.</w:t>
      </w:r>
    </w:p>
    <w:p>
      <w:pPr>
        <w:pStyle w:val="Normal"/>
      </w:pPr>
      <w:r>
        <w:t>Traceability is especially valuable because the prediction depends on several upstream choices. The prototype should use the same detector, feature definitions, aggregation procedure, scaling parameters, selected features, and classifier artifact as the final experiment. It should record enough information to identify the model version and processing outcome. This prevents the demonstrator from silently using a different pipeline from the one evaluated in the thesis.</w:t>
      </w:r>
    </w:p>
    <w:p>
      <w:pPr>
        <w:pStyle w:val="Normal"/>
      </w:pPr>
      <w:r>
        <w:t>Reproducibility guidance also supports clear documentation of dependencies, configuration, and outputs (Pineau et al., 2021). Within the project’s scope, basic functional tests can verify that a valid image passes through each stage, invalid input is handled, the intended model is loaded, and a prediction is returned consistently. These tests do not establish usability, security, scalability, or forensic admissibility. The prototype should present the output as a model prediction under the study conditions and should not imply definitive proof of image origin.</w:t>
      </w:r>
    </w:p>
    <w:p>
      <w:pPr>
        <w:pStyle w:val="Heading1"/>
        <w:keepNext/>
      </w:pPr>
      <w:r>
        <w:t>2.9 Synthesis</w:t>
      </w:r>
    </w:p>
    <w:p>
      <w:pPr>
        <w:pStyle w:val="Normal"/>
      </w:pPr>
      <w:r>
        <w:t>The reviewed literature shows that AI-generated image detection has progressed from detectors tied to particular synthesis methods toward benchmarks and methods concerned with generalization. GenImage, Community Forensics, SFLD, AIDE, and the real-world benchmark of Li et al. collectively show that dataset composition, generator diversity, content bias, image degradation, and acquisition conditions affect measured performance (Gye et al., 2025; Li et al., 2025; Park &amp; Owens, 2025; Yan et al., 2025; Zhu et al., 2023). A detector result must therefore be interpreted in relation to the data and evaluation setting from which it was obtained.</w:t>
      </w:r>
    </w:p>
    <w:p>
      <w:pPr>
        <w:pStyle w:val="Normal"/>
      </w:pPr>
      <w:r>
        <w:t>The literature also shows that synthetic-image evidence exists at multiple levels. Some methods use broad pretrained representations or semantic information (Ojha et al., 2023; Yan et al., 2025), while others focus on gradients, neighboring pixels, fingerprints, patches, or reconstruction behavior (Ricker et al., 2024; Sinitsa &amp; Fried, 2024; Tan et al., 2023, 2024; Wang et al., 2023). This diversity suggests that authenticity is not represented by one universally reliable artifact. It also creates an opportunity for a narrower question: whether interpretable local measurements become useful when the analyzed regions are selected according to the structured visual properties of text.</w:t>
      </w:r>
    </w:p>
    <w:p>
      <w:pPr>
        <w:pStyle w:val="Normal"/>
      </w:pPr>
      <w:r>
        <w:t>Text-rich images provide a defensible basis for that question. TextFake supplies direct preliminary evidence that text density and rendering conditions influence detection, although its preprint status and benchmark orientation leave room for other approaches (Zhang et al., 2026). Scene-text methods provide mature tools for identifying character, word, and arbitrary-shape regions (Baek et al., 2019; Liao et al., 2023; Zhang et al., 2021). The Stroke Width Transform and CG-DIQA further show that stroke consistency and character gradients can be measured and connected to text visibility or quality (Epshtein et al., 2010; Li et al., 2018). Together, these studies support using localized text as a visual measurement area without requiring word recognition.</w:t>
      </w:r>
    </w:p>
    <w:p>
      <w:pPr>
        <w:pStyle w:val="Normal"/>
      </w:pPr>
      <w:r>
        <w:t>Image-forensics studies strengthen the feature-based rationale. Local patches, gradients, neighboring pixels, texture, sensor noise, and edge–texture combinations have all been used to represent generated or manipulated images (Asghar et al., 2019; Chai et al., 2020; Fu et al., 2022; Tan et al., 2023, 2024; Zhong et al., 2023). Their domains and algorithms vary, so they do not establish expected performance for the proposed task. They do show that engineered local evidence remains meaningful enough to test, especially when interpretability and modest computational requirements are research priorities.</w:t>
      </w:r>
    </w:p>
    <w:p>
      <w:pPr>
        <w:pStyle w:val="Normal"/>
      </w:pPr>
      <w:r>
        <w:t>Traditional classifiers provide complementary ways to test this representation. Logistic regression evaluates a linear probabilistic relationship, SVM evaluates maximum-margin separation, and random forest evaluates nonlinear thresholds and interactions (Breiman, 2001; Cortes &amp; Vapnik, 1995; Cox, 1958). Their comparison can reveal whether the feature space is broadly separable and whether added nonlinearity improves classification. The strongest model must be selected through a leakage-controlled procedure and evaluated with multiple metrics because accuracy alone can hide class-specific errors (Gösgens et al., 2021; Saito &amp; Rehmsmeier, 2015).</w:t>
      </w:r>
    </w:p>
    <w:p>
      <w:pPr>
        <w:pStyle w:val="Normal"/>
      </w:pPr>
      <w:r>
        <w:t>Across these themes, three principles converge. First, the dataset and split design must prevent provenance, content, duplicates, and derived crops from becoming shortcuts. Second, the feature pipeline must preserve the intended visual properties and maintain the image—not the individual crop—as the unit of classification. Third, the implemented prototype must reproduce the evaluated pipeline rather than introduce a separate processing path. These principles connect the technical literature to the planned experiment and define the unresolved integration problem addressed by the study.</w:t>
      </w:r>
    </w:p>
    <w:p>
      <w:pPr>
        <w:pStyle w:val="Heading1"/>
        <w:keepNext/>
      </w:pPr>
      <w:r>
        <w:t>2.10 Research Gap and Contribution</w:t>
      </w:r>
    </w:p>
    <w:p>
      <w:pPr>
        <w:pStyle w:val="Normal"/>
      </w:pPr>
      <w:r>
        <w:t>Existing research has established effective methods for general AI-generated image detection, but much of it relies on deep learned whole-image representations, large pretrained encoders, or reconstruction models. These approaches provide strong baselines and reveal important generalization problems, yet the reviewed evidence does not determine whether a compact, interpretable representation derived from text regions can distinguish AI-generated and real text-containing images.</w:t>
      </w:r>
    </w:p>
    <w:p>
      <w:pPr>
        <w:pStyle w:val="Normal"/>
      </w:pPr>
      <w:r>
        <w:t>Research on text-rich synthetic images is emerging. TextFake directly evaluates this setting and identifies text density and rendering fidelity as important conditions (Zhang et al., 2026). However, it is a benchmark study and, at the time of this review, a preprint. It does not close the methodological question pursued here: the integration of text localization, explicitly defined nonsemantic visual text-region features, image-level aggregation, and a controlled comparison of traditional classifiers. The present research therefore does not claim that text-rich AI-image detection is unstudied. Its gap concerns the representation and experimental pipeline used to study the problem.</w:t>
      </w:r>
    </w:p>
    <w:p>
      <w:pPr>
        <w:pStyle w:val="Normal"/>
      </w:pPr>
      <w:r>
        <w:t>A second unresolved issue lies between text-localization research and authenticity classification. CRAFT, DBNet++, ABPN, and related methods detect where text appears, while the Stroke Width Transform and document-quality methods analyze properties of character formation (Baek et al., 2019; Epshtein et al., 2010; Li et al., 2018; Liao et al., 2023; Zhang et al., 2021). These works were not designed to classify an image as AI-generated or real. The proposed study repurposes localization as a region-selection stage and examines whether the localized visual measurements contain class information when semantics are excluded.</w:t>
      </w:r>
    </w:p>
    <w:p>
      <w:pPr>
        <w:pStyle w:val="Normal"/>
      </w:pPr>
      <w:r>
        <w:t>A third unresolved issue concerns comparative and reproducible evaluation of engineered feature families for this specific task. Prior forensic studies support local texture, gradient, edge, and pixel-relationship evidence, but their settings often involve faces, GANs, or manipulation forgeries (Asghar et al., 2019; Chai et al., 2020; Fu et al., 2022; Greiner &amp; Tuba, 2023). The present study will evaluate candidate feature groups under one documented data pipeline and compare logistic regression, SVM, and random forest on the same partitions. This design can show which feature families contribute useful information and which classifier best uses the resulting representation within the defined scope.</w:t>
      </w:r>
    </w:p>
    <w:p>
      <w:pPr>
        <w:pStyle w:val="Normal"/>
      </w:pPr>
      <w:r>
        <w:t>The intended contribution is therefore a reproducible experimental pipeline for binary classification of AI-generated and real text-containing images using visual text-region features. Its outputs include a prepared and documented dataset, a localization and feature-extraction procedure, fixed-length image representations, a comparative classifier evaluation, and evidence about the relative usefulness of feature groups. A thin software prototype may demonstrate the selected pipeline and model. The contribution does not include text transcription, semantic verification, generator attribution, universal cross-generator robustness, or production-grade forensic deployment.</w:t>
      </w:r>
    </w:p>
    <w:p>
      <w:pPr>
        <w:pStyle w:val="Normal"/>
      </w:pPr>
      <w:r>
        <w:t>This bounded contribution is still significant. A positive result would show that text-specific visual evidence can support a more interpretable and computationally modest detection approach. A weak or mixed result would identify which feature groups fail, where localization introduces instability, and why deeper or broader representations may be necessary. Either outcome produces empirical evidence about a representation that current whole-image detector literature does not fully resolve.</w:t>
      </w:r>
    </w:p>
    <w:p>
      <w:pPr>
        <w:pStyle w:val="Heading1"/>
        <w:keepNext/>
      </w:pPr>
      <w:r>
        <w:t>2.11 Conceptual Framework</w:t>
      </w:r>
    </w:p>
    <w:p>
      <w:pPr>
        <w:pStyle w:val="Normal"/>
      </w:pPr>
      <w:r>
        <w:t>The study follows an Input–Process–Output framework. The inputs define the data, visual measurements, models, and evaluation resources. The process converts variable numbers of detected text regions into fixed-length image representations, trains and compares classifiers without test leakage, and integrates the selected pipeline into a research prototype. The outputs consist of the prepared research artifacts and the evidence needed to answer the study objectives.</w:t>
      </w:r>
    </w:p>
    <w:p>
      <w:pPr>
        <w:pStyle w:val="Caption"/>
        <w:keepNext/>
      </w:pPr>
      <w:r>
        <w:rPr>
          <w:b/>
        </w:rPr>
        <w:t>Figure 1</w:t>
      </w:r>
    </w:p>
    <w:p>
      <w:pPr>
        <w:pStyle w:val="Caption"/>
        <w:keepNext/>
      </w:pPr>
      <w:r>
        <w:rPr>
          <w:b/>
        </w:rPr>
        <w:t>Input–Process–Output conceptual framework of the study</w:t>
      </w:r>
    </w:p>
    <w:tbl>
      <w:tblPr>
        <w:tblW w:w="0" w:type="auto"/>
        <w:tblLayout w:type="fixed"/>
        <w:tblBorders>
          <w:top w:val="single" w:sz="6" w:color="808080"/>
          <w:left w:val="single" w:sz="6" w:color="808080"/>
          <w:bottom w:val="single" w:sz="6" w:color="808080"/>
          <w:right w:val="single" w:sz="6" w:color="808080"/>
          <w:insideH w:val="single" w:sz="4" w:color="B7B7B7"/>
          <w:insideV w:val="single" w:sz="4" w:color="B7B7B7"/>
        </w:tblBorders>
      </w:tblPr>
      <w:tblGrid>
        <w:gridCol w:w="2880"/>
        <w:gridCol w:w="4320"/>
        <w:gridCol w:w="4320"/>
      </w:tblGrid>
      <w:tr>
        <w:tc>
          <w:tcPr>
            <w:tcW w:w="2880" w:type="dxa"/>
            <w:shd w:fill="D9EAF7"/>
            <w:vAlign w:val="top"/>
          </w:tcPr>
          <w:p>
            <w:pPr>
              <w:pStyle w:val="TableText"/>
            </w:pPr>
            <w:r>
              <w:rPr>
                <w:b/>
              </w:rPr>
              <w:t>Input</w:t>
            </w:r>
          </w:p>
        </w:tc>
        <w:tc>
          <w:tcPr>
            <w:tcW w:w="4320" w:type="dxa"/>
            <w:shd w:fill="D9EAF7"/>
            <w:vAlign w:val="top"/>
          </w:tcPr>
          <w:p>
            <w:pPr>
              <w:pStyle w:val="TableText"/>
            </w:pPr>
            <w:r>
              <w:rPr>
                <w:b/>
              </w:rPr>
              <w:t>Process</w:t>
            </w:r>
          </w:p>
        </w:tc>
        <w:tc>
          <w:tcPr>
            <w:tcW w:w="4320" w:type="dxa"/>
            <w:shd w:fill="D9EAF7"/>
            <w:vAlign w:val="top"/>
          </w:tcPr>
          <w:p>
            <w:pPr>
              <w:pStyle w:val="TableText"/>
            </w:pPr>
            <w:r>
              <w:rPr>
                <w:b/>
              </w:rPr>
              <w:t>Output</w:t>
            </w:r>
          </w:p>
        </w:tc>
      </w:tr>
      <w:tr>
        <w:tc>
          <w:tcPr>
            <w:tcW w:w="2880" w:type="dxa"/>
            <w:vAlign w:val="top"/>
          </w:tcPr>
          <w:p>
            <w:pPr>
              <w:pStyle w:val="TableText"/>
            </w:pPr>
            <w:r>
              <w:t>Labeled AI-generated and real (non-AI-generated) text-containing images with provenance records</w:t>
            </w:r>
          </w:p>
        </w:tc>
        <w:tc>
          <w:tcPr>
            <w:tcW w:w="4320" w:type="dxa"/>
            <w:vAlign w:val="top"/>
          </w:tcPr>
          <w:p>
            <w:pPr>
              <w:pStyle w:val="TableText"/>
            </w:pPr>
            <w:r>
              <w:t>Audit labels, file properties, duplicates, near-duplicates, content distribution, and inclusion criteria</w:t>
            </w:r>
          </w:p>
        </w:tc>
        <w:tc>
          <w:tcPr>
            <w:tcW w:w="4320" w:type="dxa"/>
            <w:vAlign w:val="top"/>
          </w:tcPr>
          <w:p>
            <w:pPr>
              <w:pStyle w:val="TableText"/>
            </w:pPr>
            <w:r>
              <w:t>Curated and documented text-containing image dataset</w:t>
            </w:r>
          </w:p>
        </w:tc>
      </w:tr>
      <w:tr>
        <w:tc>
          <w:tcPr>
            <w:tcW w:w="2880" w:type="dxa"/>
            <w:vAlign w:val="top"/>
          </w:tcPr>
          <w:p>
            <w:pPr>
              <w:pStyle w:val="TableText"/>
            </w:pPr>
            <w:r>
              <w:t>Fixed training, validation, and test partitions or an equivalent leakage-controlled validation design</w:t>
            </w:r>
          </w:p>
        </w:tc>
        <w:tc>
          <w:tcPr>
            <w:tcW w:w="4320" w:type="dxa"/>
            <w:vAlign w:val="top"/>
          </w:tcPr>
          <w:p>
            <w:pPr>
              <w:pStyle w:val="TableText"/>
            </w:pPr>
            <w:r>
              <w:t>Separate related images before fitting; preserve the image as the unit of analysis</w:t>
            </w:r>
          </w:p>
        </w:tc>
        <w:tc>
          <w:tcPr>
            <w:tcW w:w="4320" w:type="dxa"/>
            <w:vAlign w:val="top"/>
          </w:tcPr>
          <w:p>
            <w:pPr>
              <w:pStyle w:val="TableText"/>
            </w:pPr>
            <w:r>
              <w:t>Reproducible data partitions and evaluation manifest</w:t>
            </w:r>
          </w:p>
        </w:tc>
      </w:tr>
      <w:tr>
        <w:tc>
          <w:tcPr>
            <w:tcW w:w="2880" w:type="dxa"/>
            <w:vAlign w:val="top"/>
          </w:tcPr>
          <w:p>
            <w:pPr>
              <w:pStyle w:val="TableText"/>
            </w:pPr>
            <w:r>
              <w:t>Selected text-region detector and fixed localization settings</w:t>
            </w:r>
          </w:p>
        </w:tc>
        <w:tc>
          <w:tcPr>
            <w:tcW w:w="4320" w:type="dxa"/>
            <w:vAlign w:val="top"/>
          </w:tcPr>
          <w:p>
            <w:pPr>
              <w:pStyle w:val="TableText"/>
            </w:pPr>
            <w:r>
              <w:t>Detect text regions; inspect localization behavior; crop or mask regions consistently</w:t>
            </w:r>
          </w:p>
        </w:tc>
        <w:tc>
          <w:tcPr>
            <w:tcW w:w="4320" w:type="dxa"/>
            <w:vAlign w:val="top"/>
          </w:tcPr>
          <w:p>
            <w:pPr>
              <w:pStyle w:val="TableText"/>
            </w:pPr>
            <w:r>
              <w:t>Localized text regions and recorded region geometry</w:t>
            </w:r>
          </w:p>
        </w:tc>
      </w:tr>
      <w:tr>
        <w:tc>
          <w:tcPr>
            <w:tcW w:w="2880" w:type="dxa"/>
            <w:vAlign w:val="top"/>
          </w:tcPr>
          <w:p>
            <w:pPr>
              <w:pStyle w:val="TableText"/>
            </w:pPr>
            <w:r>
              <w:t>Visual feature definitions: text density, stroke appearance, character shape, spacing, alignment, edges, gradients, texture, contrast, and sharpness/blur</w:t>
            </w:r>
          </w:p>
        </w:tc>
        <w:tc>
          <w:tcPr>
            <w:tcW w:w="4320" w:type="dxa"/>
            <w:vAlign w:val="top"/>
          </w:tcPr>
          <w:p>
            <w:pPr>
              <w:pStyle w:val="TableText"/>
            </w:pPr>
            <w:r>
              <w:t>Preprocess regions; compute regional features; aggregate variable regional measurements into a fixed-length image vector</w:t>
            </w:r>
          </w:p>
        </w:tc>
        <w:tc>
          <w:tcPr>
            <w:tcW w:w="4320" w:type="dxa"/>
            <w:vAlign w:val="top"/>
          </w:tcPr>
          <w:p>
            <w:pPr>
              <w:pStyle w:val="TableText"/>
            </w:pPr>
            <w:r>
              <w:t>Image-level nonsemantic visual text-region feature matrix</w:t>
            </w:r>
          </w:p>
        </w:tc>
      </w:tr>
      <w:tr>
        <w:tc>
          <w:tcPr>
            <w:tcW w:w="2880" w:type="dxa"/>
            <w:vAlign w:val="top"/>
          </w:tcPr>
          <w:p>
            <w:pPr>
              <w:pStyle w:val="TableText"/>
            </w:pPr>
            <w:r>
              <w:t>Logistic regression, support vector machine, and random forest</w:t>
            </w:r>
          </w:p>
        </w:tc>
        <w:tc>
          <w:tcPr>
            <w:tcW w:w="4320" w:type="dxa"/>
            <w:vAlign w:val="top"/>
          </w:tcPr>
          <w:p>
            <w:pPr>
              <w:pStyle w:val="TableText"/>
            </w:pPr>
            <w:r>
              <w:t>Fit preprocessing on training data; train and tune classifiers; select settings without using test outcomes</w:t>
            </w:r>
          </w:p>
        </w:tc>
        <w:tc>
          <w:tcPr>
            <w:tcW w:w="4320" w:type="dxa"/>
            <w:vAlign w:val="top"/>
          </w:tcPr>
          <w:p>
            <w:pPr>
              <w:pStyle w:val="TableText"/>
            </w:pPr>
            <w:r>
              <w:t>Trained candidate models and selected classification pipeline</w:t>
            </w:r>
          </w:p>
        </w:tc>
      </w:tr>
      <w:tr>
        <w:tc>
          <w:tcPr>
            <w:tcW w:w="2880" w:type="dxa"/>
            <w:vAlign w:val="top"/>
          </w:tcPr>
          <w:p>
            <w:pPr>
              <w:pStyle w:val="TableText"/>
            </w:pPr>
            <w:r>
              <w:t>Accuracy, precision, recall, F1-score, and confusion matrix</w:t>
            </w:r>
          </w:p>
        </w:tc>
        <w:tc>
          <w:tcPr>
            <w:tcW w:w="4320" w:type="dxa"/>
            <w:vAlign w:val="top"/>
          </w:tcPr>
          <w:p>
            <w:pPr>
              <w:pStyle w:val="TableText"/>
            </w:pPr>
            <w:r>
              <w:t>Evaluate all models on the same untouched test data; compare feature groups and analyze errors</w:t>
            </w:r>
          </w:p>
        </w:tc>
        <w:tc>
          <w:tcPr>
            <w:tcW w:w="4320" w:type="dxa"/>
            <w:vAlign w:val="top"/>
          </w:tcPr>
          <w:p>
            <w:pPr>
              <w:pStyle w:val="TableText"/>
            </w:pPr>
            <w:r>
              <w:t>Comparative performance results and evidence on useful feature families</w:t>
            </w:r>
          </w:p>
        </w:tc>
      </w:tr>
      <w:tr>
        <w:tc>
          <w:tcPr>
            <w:tcW w:w="2880" w:type="dxa"/>
            <w:vAlign w:val="top"/>
          </w:tcPr>
          <w:p>
            <w:pPr>
              <w:pStyle w:val="TableText"/>
            </w:pPr>
            <w:r>
              <w:t>Software environment, saved detector and classifier artifacts, and prototype requirements</w:t>
            </w:r>
          </w:p>
        </w:tc>
        <w:tc>
          <w:tcPr>
            <w:tcW w:w="4320" w:type="dxa"/>
            <w:vAlign w:val="top"/>
          </w:tcPr>
          <w:p>
            <w:pPr>
              <w:pStyle w:val="TableText"/>
            </w:pPr>
            <w:r>
              <w:t>Integrate image input, localization, feature extraction, aggregation, prediction, and result display; conduct basic functional tests</w:t>
            </w:r>
          </w:p>
        </w:tc>
        <w:tc>
          <w:tcPr>
            <w:tcW w:w="4320" w:type="dxa"/>
            <w:vAlign w:val="top"/>
          </w:tcPr>
          <w:p>
            <w:pPr>
              <w:pStyle w:val="TableText"/>
            </w:pPr>
            <w:r>
              <w:t>Reproducible research pipeline and functional demonstration prototype</w:t>
            </w:r>
          </w:p>
        </w:tc>
      </w:tr>
    </w:tbl>
    <w:p>
      <w:pPr>
        <w:pStyle w:val="Normal"/>
      </w:pPr>
      <w:r>
        <w:t>The framework treats the image as the principal observation from input to evaluation. Detected regions are intermediate measurement units and are not independently divided across data partitions. This relationship prevents crops from one image from appearing in both model development and final testing. It also aligns the output with the research question, which asks for an image-level prediction.</w:t>
      </w:r>
    </w:p>
    <w:p>
      <w:pPr>
        <w:pStyle w:val="Normal"/>
      </w:pPr>
      <w:r>
        <w:t>The framework contains two feedback activities during development. First, localization inspection can identify missed, incomplete, or false-positive text regions and guide the selection of a fixed detector configuration before final evaluation. Second, validation results can guide classifier hyperparameters and the final feature configuration. Neither activity may use the test labels. Once the configuration is fixed, the test set provides the final comparative estimate.</w:t>
      </w:r>
    </w:p>
    <w:p>
      <w:pPr>
        <w:pStyle w:val="Normal"/>
      </w:pPr>
      <w:r>
        <w:t>The prototype is placed at the end of the process because it packages the selected research pipeline. Its input transformations and model artifacts must match those used in the experiment. Basic functional testing verifies processing continuity and consistent prediction output; it does not replace statistical evaluation of the classifier or establish readiness for unrestricted real-world use.</w:t>
      </w:r>
    </w:p>
    <w:p>
      <w:pPr>
        <w:pStyle w:val="Heading1"/>
        <w:keepNext/>
      </w:pPr>
      <w:r>
        <w:t>2.12 Chapter Summary</w:t>
      </w:r>
    </w:p>
    <w:p>
      <w:pPr>
        <w:pStyle w:val="Normal"/>
      </w:pPr>
      <w:r>
        <w:t>This chapter reviewed the literature supporting machine-learning classification of AI-generated and real text-containing images through visual text-region features. Current AI-image detectors use diverse signals, including pretrained representations, local gradients and pixel relationships, learned fingerprints, and reconstruction errors. Their evaluations consistently show that generator coverage, content bias, degradation, and dataset provenance affect performance. These findings establish the importance of controlled claims and reliable data preparation.</w:t>
      </w:r>
    </w:p>
    <w:p>
      <w:pPr>
        <w:pStyle w:val="Normal"/>
      </w:pPr>
      <w:r>
        <w:t>The review also showed that scene-text localization can isolate character- and word-level regions without using OCR semantics. Stroke, shape, spacing, alignment, edge, gradient, texture, contrast, and sharpness measurements are supported by related work in text detection, document-image quality, and image forensics. Logistic regression, SVM, and random forest provide complementary traditional classifiers for evaluating the resulting fixed-length representation. Reliable comparison requires leakage-controlled partitions, training-only preprocessing, multiple performance metrics, and complete documentation.</w:t>
      </w:r>
    </w:p>
    <w:p>
      <w:pPr>
        <w:pStyle w:val="Normal"/>
      </w:pPr>
      <w:r>
        <w:t>The reviewed literature leaves an unresolved integration question: how effectively a pipeline that combines text localization, nonsemantic visual text-region features, image-level aggregation, traditional classifier comparison, and feature-group analysis can perform this specific binary task. The proposed study addresses that question within a controlled scope and may package the selected model in a traceable demonstration prototype. The next chapter will specify the dataset, localization procedure, feature formulas, aggregation strategy, classifier training, validation design, evaluation measures, and prototype implementation used to test the framework.</w:t>
      </w:r>
    </w:p>
    <w:p>
      <w:pPr>
        <w:pStyle w:val="ReferenceHeading"/>
        <w:pageBreakBefore/>
        <w:keepNext/>
      </w:pPr>
      <w:r>
        <w:t>References</w:t>
      </w:r>
    </w:p>
    <w:p>
      <w:pPr>
        <w:pStyle w:val="Reference"/>
      </w:pPr>
      <w:r>
        <w:t xml:space="preserve">Asghar, K., Sun, X., Rosin, P. L., Saddique, M., Hussain, M., &amp; Habib, Z. (2019). Edge–texture feature-based image forgery detection with cross-dataset evaluation. </w:t>
      </w:r>
      <w:r>
        <w:rPr>
          <w:i/>
        </w:rPr>
        <w:t>Machine Vision and Applications, 30</w:t>
      </w:r>
      <w:r>
        <w:t>(7–8), 1243–1262. https://doi.org/10.1007/s00138-019-01048-2</w:t>
      </w:r>
    </w:p>
    <w:p>
      <w:pPr>
        <w:pStyle w:val="Reference"/>
      </w:pPr>
      <w:r>
        <w:t xml:space="preserve">Baek, Y., Lee, B., Han, D., Yun, S., &amp; Lee, H. (2019). Character region awareness for text detection. In </w:t>
      </w:r>
      <w:r>
        <w:rPr>
          <w:i/>
        </w:rPr>
        <w:t>Proceedings of the IEEE/CVF Conference on Computer Vision and Pattern Recognition</w:t>
      </w:r>
      <w:r>
        <w:t xml:space="preserve"> (pp. 9365–9374). https://openaccess.thecvf.com/content_CVPR_2019/html/Baek_Character_Region_Awareness_for_Text_Detection_CVPR_2019_paper.html</w:t>
      </w:r>
    </w:p>
    <w:p>
      <w:pPr>
        <w:pStyle w:val="Reference"/>
      </w:pPr>
      <w:r>
        <w:t xml:space="preserve">Bird, J. J., &amp; Lotfi, A. (2024). CIFAKE: Image classification and explainable identification of AI-generated synthetic images. </w:t>
      </w:r>
      <w:r>
        <w:rPr>
          <w:i/>
        </w:rPr>
        <w:t>IEEE Access, 12</w:t>
      </w:r>
      <w:r>
        <w:t>, 15642–15650. https://doi.org/10.1109/ACCESS.2024.3356122</w:t>
      </w:r>
    </w:p>
    <w:p>
      <w:pPr>
        <w:pStyle w:val="Reference"/>
      </w:pPr>
      <w:r>
        <w:t xml:space="preserve">Breiman, L. (2001). Random forests. </w:t>
      </w:r>
      <w:r>
        <w:rPr>
          <w:i/>
        </w:rPr>
        <w:t>Machine Learning, 45</w:t>
      </w:r>
      <w:r>
        <w:t>, 5–32. https://doi.org/10.1023/A:1010933404324</w:t>
      </w:r>
    </w:p>
    <w:p>
      <w:pPr>
        <w:pStyle w:val="Reference"/>
      </w:pPr>
      <w:r>
        <w:t xml:space="preserve">Chai, L., Bau, D., Lim, S.-N., &amp; Isola, P. (2020). What makes fake images detectable? Understanding properties that generalize. In A. Vedaldi, H. Bischof, T. Brox, &amp; J.-M. Frahm (Eds.), </w:t>
      </w:r>
      <w:r>
        <w:rPr>
          <w:i/>
        </w:rPr>
        <w:t>Computer vision—ECCV 2020</w:t>
      </w:r>
      <w:r>
        <w:t xml:space="preserve"> (Lecture Notes in Computer Science, Vol. 12371, pp. 103–120). Springer. https://doi.org/10.1007/978-3-030-58574-7_7</w:t>
      </w:r>
    </w:p>
    <w:p>
      <w:pPr>
        <w:pStyle w:val="Reference"/>
      </w:pPr>
      <w:r>
        <w:t xml:space="preserve">Chen, W., Yang, K., Yu, Z., Shi, Y., &amp; Chen, C. L. P. (2024). A survey on imbalanced learning: Latest research, applications and future directions. </w:t>
      </w:r>
      <w:r>
        <w:rPr>
          <w:i/>
        </w:rPr>
        <w:t>Artificial Intelligence Review, 57</w:t>
      </w:r>
      <w:r>
        <w:t>(6), Article 137. https://doi.org/10.1007/s10462-024-10759-6</w:t>
      </w:r>
    </w:p>
    <w:p>
      <w:pPr>
        <w:pStyle w:val="Reference"/>
      </w:pPr>
      <w:r>
        <w:t xml:space="preserve">Cortes, C., &amp; Vapnik, V. (1995). Support-vector networks. </w:t>
      </w:r>
      <w:r>
        <w:rPr>
          <w:i/>
        </w:rPr>
        <w:t>Machine Learning, 20</w:t>
      </w:r>
      <w:r>
        <w:t>, 273–297. https://doi.org/10.1007/BF00994018</w:t>
      </w:r>
    </w:p>
    <w:p>
      <w:pPr>
        <w:pStyle w:val="Reference"/>
      </w:pPr>
      <w:r>
        <w:t xml:space="preserve">Cox, D. R. (1958). The regression analysis of binary sequences. </w:t>
      </w:r>
      <w:r>
        <w:rPr>
          <w:i/>
        </w:rPr>
        <w:t>Journal of the Royal Statistical Society: Series B (Methodological), 20</w:t>
      </w:r>
      <w:r>
        <w:t>(2), 215–232. https://doi.org/10.1111/j.2517-6161.1958.tb00292.x</w:t>
      </w:r>
    </w:p>
    <w:p>
      <w:pPr>
        <w:pStyle w:val="Reference"/>
      </w:pPr>
      <w:r>
        <w:t xml:space="preserve">Epshtein, B., Ofek, E., &amp; Wexler, Y. (2010). Detecting text in natural scenes with stroke width transform. In </w:t>
      </w:r>
      <w:r>
        <w:rPr>
          <w:i/>
        </w:rPr>
        <w:t>2010 IEEE Computer Society Conference on Computer Vision and Pattern Recognition</w:t>
      </w:r>
      <w:r>
        <w:t xml:space="preserve"> (pp. 2963–2970). https://doi.org/10.1109/CVPR.2010.5540041</w:t>
      </w:r>
    </w:p>
    <w:p>
      <w:pPr>
        <w:pStyle w:val="Reference"/>
      </w:pPr>
      <w:r>
        <w:t xml:space="preserve">Fu, T., Xia, M., &amp; Yang, G. (2022). Detecting GAN-generated face images via hybrid texture and sensor noise based features. </w:t>
      </w:r>
      <w:r>
        <w:rPr>
          <w:i/>
        </w:rPr>
        <w:t>Multimedia Tools and Applications, 81</w:t>
      </w:r>
      <w:r>
        <w:t>(18), 26345–26359. https://doi.org/10.1007/s11042-022-12661-1</w:t>
      </w:r>
    </w:p>
    <w:p>
      <w:pPr>
        <w:pStyle w:val="Reference"/>
      </w:pPr>
      <w:r>
        <w:t xml:space="preserve">Gösgens, M., Zhiyanov, A., Tikhonov, A., &amp; Prokhorenkova, L. (2021). Good classification measures and how to find them. In </w:t>
      </w:r>
      <w:r>
        <w:rPr>
          <w:i/>
        </w:rPr>
        <w:t>Advances in Neural Information Processing Systems</w:t>
      </w:r>
      <w:r>
        <w:t xml:space="preserve"> (Vol. 34). https://proceedings.neurips.cc/paper/2021/hash/8e489b4966fe8f703b5be647f1cbae63-Abstract.html</w:t>
      </w:r>
    </w:p>
    <w:p>
      <w:pPr>
        <w:pStyle w:val="Reference"/>
      </w:pPr>
      <w:r>
        <w:t xml:space="preserve">Greiner, G., &amp; Tuba, E. (2023). Detecting image forgery using support vector machine and texture features. In </w:t>
      </w:r>
      <w:r>
        <w:rPr>
          <w:i/>
        </w:rPr>
        <w:t>Intelligent data engineering and automated learning—IDEAL 2023</w:t>
      </w:r>
      <w:r>
        <w:t xml:space="preserve"> (pp. 529–537). Springer. https://doi.org/10.1007/978-3-031-48232-8_48</w:t>
      </w:r>
    </w:p>
    <w:p>
      <w:pPr>
        <w:pStyle w:val="Reference"/>
      </w:pPr>
      <w:r>
        <w:t xml:space="preserve">Gye, S., Ko, J., Shon, H., Kwon, M., &amp; Kim, J. (2025). SFLD: Reducing the content bias for AI-generated image detection. In </w:t>
      </w:r>
      <w:r>
        <w:rPr>
          <w:i/>
        </w:rPr>
        <w:t>Proceedings of the IEEE/CVF Winter Conference on Applications of Computer Vision</w:t>
      </w:r>
      <w:r>
        <w:t xml:space="preserve"> (pp. 399–408). https://openaccess.thecvf.com/content/WACV2025/html/Gye_Reducing_the_Content_Bias_for_AI-Generated_Image_Detection_WACV_2025_paper.html</w:t>
      </w:r>
    </w:p>
    <w:p>
      <w:pPr>
        <w:pStyle w:val="Reference"/>
      </w:pPr>
      <w:r>
        <w:t xml:space="preserve">Kapoor, S., &amp; Narayanan, A. (2023). Leakage and the reproducibility crisis in machine-learning-based science. </w:t>
      </w:r>
      <w:r>
        <w:rPr>
          <w:i/>
        </w:rPr>
        <w:t>Patterns, 4</w:t>
      </w:r>
      <w:r>
        <w:t>(9), Article 100804. https://doi.org/10.1016/j.patter.2023.100804</w:t>
      </w:r>
    </w:p>
    <w:p>
      <w:pPr>
        <w:pStyle w:val="Reference"/>
      </w:pPr>
      <w:r>
        <w:t xml:space="preserve">Kreuzberger, D., Kühl, N., &amp; Hirschl, S. (2023). Machine learning operations (MLOps): Overview, definition, and architecture. </w:t>
      </w:r>
      <w:r>
        <w:rPr>
          <w:i/>
        </w:rPr>
        <w:t>IEEE Access, 11</w:t>
      </w:r>
      <w:r>
        <w:t>, 31866–31879. https://doi.org/10.1109/ACCESS.2023.3262138</w:t>
      </w:r>
    </w:p>
    <w:p>
      <w:pPr>
        <w:pStyle w:val="Reference"/>
      </w:pPr>
      <w:r>
        <w:t xml:space="preserve">Li, C., Wang, X., Li, M., Miao, B., Sun, P., Zhang, Y., Ji, X., &amp; Zhu, Y. (2025). Bridging the gap between ideal and real-world evaluation: Benchmarking AI-generated image detection. In </w:t>
      </w:r>
      <w:r>
        <w:rPr>
          <w:i/>
        </w:rPr>
        <w:t>Proceedings of the IEEE/CVF International Conference on Computer Vision</w:t>
      </w:r>
      <w:r>
        <w:t xml:space="preserve"> (pp. 20379–20389). https://openaccess.thecvf.com/content/ICCV2025/html/Li_Bridging_the_Gap_Between_Ideal_and_Real-world_Evaluation_Benchmarking_AI-Generated_ICCV_2025_paper.html</w:t>
      </w:r>
    </w:p>
    <w:p>
      <w:pPr>
        <w:pStyle w:val="Reference"/>
      </w:pPr>
      <w:r>
        <w:t xml:space="preserve">Li, H., Zhu, F., &amp; Qiu, J. (2018). CG-DIQA: No-reference document image quality assessment based on character gradient. In </w:t>
      </w:r>
      <w:r>
        <w:rPr>
          <w:i/>
        </w:rPr>
        <w:t>2018 24th International Conference on Pattern Recognition (ICPR)</w:t>
      </w:r>
      <w:r>
        <w:t xml:space="preserve"> (pp. 3622–3626). https://doi.org/10.1109/ICPR.2018.8545433</w:t>
      </w:r>
    </w:p>
    <w:p>
      <w:pPr>
        <w:pStyle w:val="Reference"/>
      </w:pPr>
      <w:r>
        <w:t xml:space="preserve">Liao, M., Zou, Z., Wan, Z., Yao, C., &amp; Bai, X. (2023). Real-time scene text detection with differentiable binarization and adaptive scale fusion. </w:t>
      </w:r>
      <w:r>
        <w:rPr>
          <w:i/>
        </w:rPr>
        <w:t>IEEE Transactions on Pattern Analysis and Machine Intelligence, 45</w:t>
      </w:r>
      <w:r>
        <w:t>(1), 919–931. https://doi.org/10.1109/TPAMI.2022.3155612</w:t>
      </w:r>
    </w:p>
    <w:p>
      <w:pPr>
        <w:pStyle w:val="Reference"/>
      </w:pPr>
      <w:r>
        <w:t xml:space="preserve">Ojha, U., Li, Y., &amp; Lee, Y. J. (2023). Towards universal fake image detectors that generalize across generative models. In </w:t>
      </w:r>
      <w:r>
        <w:rPr>
          <w:i/>
        </w:rPr>
        <w:t>Proceedings of the IEEE/CVF Conference on Computer Vision and Pattern Recognition</w:t>
      </w:r>
      <w:r>
        <w:t xml:space="preserve"> (pp. 24480–24489). https://openaccess.thecvf.com/content/CVPR2023/html/Ojha_Towards_Universal_Fake_Image_Detectors_That_Generalize_Across_Generative_Models_CVPR_2023_paper.html</w:t>
      </w:r>
    </w:p>
    <w:p>
      <w:pPr>
        <w:pStyle w:val="Reference"/>
      </w:pPr>
      <w:r>
        <w:t xml:space="preserve">Park, J., &amp; Owens, A. (2025). Community forensics: Using thousands of generators to train fake image detectors. In </w:t>
      </w:r>
      <w:r>
        <w:rPr>
          <w:i/>
        </w:rPr>
        <w:t>Proceedings of the IEEE/CVF Conference on Computer Vision and Pattern Recognition</w:t>
      </w:r>
      <w:r>
        <w:t xml:space="preserve"> (pp. 8245–8257). https://openaccess.thecvf.com/content/CVPR2025/html/Park_Community_Forensics_Using_Thousands_of_Generators_to_Train_Fake_Image_CVPR_2025_paper.html</w:t>
      </w:r>
    </w:p>
    <w:p>
      <w:pPr>
        <w:pStyle w:val="Reference"/>
      </w:pPr>
      <w:r>
        <w:t xml:space="preserve">Pineau, J., Vincent-Lamarre, P., Sinha, K., Larivière, V., Beygelzimer, A., d’Alché-Buc, F., Fox, E., &amp; Larochelle, H. (2021). Improving reproducibility in machine learning research (A report from the NeurIPS 2019 reproducibility program). </w:t>
      </w:r>
      <w:r>
        <w:rPr>
          <w:i/>
        </w:rPr>
        <w:t>Journal of Machine Learning Research, 22</w:t>
      </w:r>
      <w:r>
        <w:t>(164), 1–20. https://jmlr.org/papers/v22/20-303.html</w:t>
      </w:r>
    </w:p>
    <w:p>
      <w:pPr>
        <w:pStyle w:val="Reference"/>
      </w:pPr>
      <w:r>
        <w:t xml:space="preserve">Ricker, J., Lukovnikov, D., &amp; Fischer, A. (2024). AEROBLADE: Training-free detection of latent diffusion images using autoencoder reconstruction error. In </w:t>
      </w:r>
      <w:r>
        <w:rPr>
          <w:i/>
        </w:rPr>
        <w:t>Proceedings of the IEEE/CVF Conference on Computer Vision and Pattern Recognition</w:t>
      </w:r>
      <w:r>
        <w:t xml:space="preserve"> (pp. 9130–9140). https://openaccess.thecvf.com/content/CVPR2024/html/Ricker_AEROBLADE_Training-Free_Detection_of_Latent_Diffusion_Images_Using_Autoencoder_Reconstruction_CVPR_2024_paper.html</w:t>
      </w:r>
    </w:p>
    <w:p>
      <w:pPr>
        <w:pStyle w:val="Reference"/>
      </w:pPr>
      <w:r>
        <w:t xml:space="preserve">Ruf, P., Madan, M., Reich, C., &amp; Ould-Abdeslam, D. (2021). Demystifying MLOps and presenting a recipe for the selection of open-source tools. </w:t>
      </w:r>
      <w:r>
        <w:rPr>
          <w:i/>
        </w:rPr>
        <w:t>Applied Sciences, 11</w:t>
      </w:r>
      <w:r>
        <w:t>(19), Article 8861. https://doi.org/10.3390/app11198861</w:t>
      </w:r>
    </w:p>
    <w:p>
      <w:pPr>
        <w:pStyle w:val="Reference"/>
      </w:pPr>
      <w:r>
        <w:t xml:space="preserve">Saito, T., &amp; Rehmsmeier, M. (2015). The precision–recall plot is more informative than the ROC plot when evaluating binary classifiers on imbalanced datasets. </w:t>
      </w:r>
      <w:r>
        <w:rPr>
          <w:i/>
        </w:rPr>
        <w:t>PLOS ONE, 10</w:t>
      </w:r>
      <w:r>
        <w:t>(3), Article e0118432. https://doi.org/10.1371/journal.pone.0118432</w:t>
      </w:r>
    </w:p>
    <w:p>
      <w:pPr>
        <w:pStyle w:val="Reference"/>
      </w:pPr>
      <w:r>
        <w:t xml:space="preserve">Sinitsa, S., &amp; Fried, O. (2024). Deep image fingerprint: Towards low budget synthetic image detection and model lineage analysis. In </w:t>
      </w:r>
      <w:r>
        <w:rPr>
          <w:i/>
        </w:rPr>
        <w:t>Proceedings of the IEEE/CVF Winter Conference on Applications of Computer Vision</w:t>
      </w:r>
      <w:r>
        <w:t xml:space="preserve"> (pp. 4067–4076). https://openaccess.thecvf.com/content/WACV2024/html/Sinitsa_Deep_Image_Fingerprint_Towards_Low_Budget_Synthetic_Image_Detection_and_WACV_2024_paper.html</w:t>
      </w:r>
    </w:p>
    <w:p>
      <w:pPr>
        <w:pStyle w:val="Reference"/>
      </w:pPr>
      <w:r>
        <w:t xml:space="preserve">Tampu, I. E., Eklund, A., &amp; Haj-Hosseini, N. (2022). Inflation of test accuracy due to data leakage in deep learning-based classification of OCT images. </w:t>
      </w:r>
      <w:r>
        <w:rPr>
          <w:i/>
        </w:rPr>
        <w:t>Scientific Data, 9</w:t>
      </w:r>
      <w:r>
        <w:t>, Article 580. https://doi.org/10.1038/s41597-022-01618-6</w:t>
      </w:r>
    </w:p>
    <w:p>
      <w:pPr>
        <w:pStyle w:val="Reference"/>
      </w:pPr>
      <w:r>
        <w:t xml:space="preserve">Tan, C., Liu, H., Zhao, Y., Wei, S., Gu, G., Liu, P., &amp; Wei, Y. (2024). Rethinking the up-sampling operations in CNN-based generative network for generalizable deepfake detection. In </w:t>
      </w:r>
      <w:r>
        <w:rPr>
          <w:i/>
        </w:rPr>
        <w:t>Proceedings of the IEEE/CVF Conference on Computer Vision and Pattern Recognition</w:t>
      </w:r>
      <w:r>
        <w:t xml:space="preserve"> (pp. 28130–28139). https://doi.org/10.1109/CVPR52733.2024.02657</w:t>
      </w:r>
    </w:p>
    <w:p>
      <w:pPr>
        <w:pStyle w:val="Reference"/>
      </w:pPr>
      <w:r>
        <w:t xml:space="preserve">Tan, C., Zhao, Y., Wei, S., Gu, G., &amp; Wei, Y. (2023). Learning on gradients: Generalized artifacts representation for GAN-generated images detection. In </w:t>
      </w:r>
      <w:r>
        <w:rPr>
          <w:i/>
        </w:rPr>
        <w:t>Proceedings of the IEEE/CVF Conference on Computer Vision and Pattern Recognition</w:t>
      </w:r>
      <w:r>
        <w:t xml:space="preserve"> (pp. 12105–12114). https://openaccess.thecvf.com/content/CVPR2023/html/Tan_Learning_on_Gradients_Generalized_Artifacts_Representation_for_GAN-Generated_Images_Detection_CVPR_2023_paper.html</w:t>
      </w:r>
    </w:p>
    <w:p>
      <w:pPr>
        <w:pStyle w:val="Reference"/>
      </w:pPr>
      <w:r>
        <w:t xml:space="preserve">Varma, S., &amp; Simon, R. (2006). Bias in error estimation when using cross-validation for model selection. </w:t>
      </w:r>
      <w:r>
        <w:rPr>
          <w:i/>
        </w:rPr>
        <w:t>BMC Bioinformatics, 7</w:t>
      </w:r>
      <w:r>
        <w:t>, Article 91. https://doi.org/10.1186/1471-2105-7-91</w:t>
      </w:r>
    </w:p>
    <w:p>
      <w:pPr>
        <w:pStyle w:val="Reference"/>
      </w:pPr>
      <w:r>
        <w:t xml:space="preserve">Wang, Z., Bao, J., Zhou, W., Wang, W., Hu, H., Chen, H., &amp; Li, H. (2023). DIRE for diffusion-generated image detection. In </w:t>
      </w:r>
      <w:r>
        <w:rPr>
          <w:i/>
        </w:rPr>
        <w:t>Proceedings of the IEEE/CVF International Conference on Computer Vision</w:t>
      </w:r>
      <w:r>
        <w:t xml:space="preserve"> (pp. 22445–22455). https://openaccess.thecvf.com/content/ICCV2023/html/Wang_DIRE_for_Diffusion-Generated_Image_Detection_ICCV_2023_paper.html</w:t>
      </w:r>
    </w:p>
    <w:p>
      <w:pPr>
        <w:pStyle w:val="Reference"/>
      </w:pPr>
      <w:r>
        <w:t xml:space="preserve">Yan, S., Li, Q., Cai, J., Hao, Y., Jiang, X., Hu, Y., &amp; Xie, W. (2025). A sanity check for AI-generated image detection. In </w:t>
      </w:r>
      <w:r>
        <w:rPr>
          <w:i/>
        </w:rPr>
        <w:t>The Thirteenth International Conference on Learning Representations</w:t>
      </w:r>
      <w:r>
        <w:t>. https://openreview.net/forum?id=FSB1dyK3ik</w:t>
      </w:r>
    </w:p>
    <w:p>
      <w:pPr>
        <w:pStyle w:val="Reference"/>
      </w:pPr>
      <w:r>
        <w:t xml:space="preserve">Zhang, S.-X., Zhu, X., Yang, C., Wang, H., &amp; Yin, X.-C. (2021). Adaptive boundary proposal network for arbitrary shape text detection. In </w:t>
      </w:r>
      <w:r>
        <w:rPr>
          <w:i/>
        </w:rPr>
        <w:t>Proceedings of the IEEE/CVF International Conference on Computer Vision</w:t>
      </w:r>
      <w:r>
        <w:t xml:space="preserve"> (pp. 1305–1314). https://openaccess.thecvf.com/content/ICCV2021/html/Zhang_Adaptive_Boundary_Proposal_Network_for_Arbitrary_Shape_Text_Detection_ICCV_2021_paper.html</w:t>
      </w:r>
    </w:p>
    <w:p>
      <w:pPr>
        <w:pStyle w:val="Reference"/>
      </w:pPr>
      <w:r>
        <w:t xml:space="preserve">Zhang, Y., Miao, C., Liao, M., Liu, T., Wang, X., Gong, T., Chu, Q., &amp; Yu, N. (2026). </w:t>
      </w:r>
      <w:r>
        <w:rPr>
          <w:i/>
        </w:rPr>
        <w:t>TextFake: Benchmarking AI-generated image detection on text-rich images</w:t>
      </w:r>
      <w:r>
        <w:t xml:space="preserve"> [Preprint]. arXiv. https://doi.org/10.48550/arXiv.2606.01050</w:t>
      </w:r>
    </w:p>
    <w:p>
      <w:pPr>
        <w:pStyle w:val="Reference"/>
      </w:pPr>
      <w:r>
        <w:t xml:space="preserve">Zhong, N., Xu, Y., Li, S., Qian, Z., &amp; Zhang, X. (2023). </w:t>
      </w:r>
      <w:r>
        <w:rPr>
          <w:i/>
        </w:rPr>
        <w:t>PatchCraft: Exploring texture patch for efficient AI-generated image detection</w:t>
      </w:r>
      <w:r>
        <w:t xml:space="preserve"> [Preprint]. arXiv. https://doi.org/10.48550/arXiv.2311.12397</w:t>
      </w:r>
    </w:p>
    <w:p>
      <w:pPr>
        <w:pStyle w:val="Reference"/>
      </w:pPr>
      <w:r>
        <w:t xml:space="preserve">Zhu, M., Chen, H., Yan, Q., Huang, X., Lin, G., Li, W., Tu, Z., Hu, H., Hu, J., &amp; Wang, Y. (2023). GenImage: A million-scale benchmark for detecting AI-generated image. In </w:t>
      </w:r>
      <w:r>
        <w:rPr>
          <w:i/>
        </w:rPr>
        <w:t>Advances in Neural Information Processing Systems</w:t>
      </w:r>
      <w:r>
        <w:t xml:space="preserve"> (Vol. 36, pp. 77771–77782). https://doi.org/10.52202/075280-3398</w:t>
      </w:r>
    </w:p>
    <w:sectPr>
      <w:pgSz w:w="12240" w:h="15840"/>
      <w:pgMar w:top="1440" w:right="1440" w:bottom="1440" w:left="1440" w:header="720" w:footer="720" w:gutter="0"/>
      <w:cols w:space="720"/>
      <w:docGrid w:linePitch="360"/>
    </w:sectPr>
  </w:body>
</w:document>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Times New Roman" w:hAnsi="Times New Roman" w:eastAsia="Times New Roman"/>
        <w:sz w:val="24"/>
        <w:szCs w:val="24"/>
        <w:lang w:val="en-US"/>
      </w:rPr>
    </w:rPrDefault>
    <w:pPrDefault>
      <w:pPr>
        <w:spacing w:after="0" w:line="480" w:lineRule="auto"/>
        <w:jc w:val="both"/>
      </w:pPr>
    </w:pPrDefault>
  </w:docDefaults>
  <w:style w:type="paragraph" w:default="1" w:styleId="Normal">
    <w:name w:val="Normal"/>
    <w:qFormat/>
    <w:pPr>
      <w:spacing w:after="0" w:line="480" w:lineRule="auto"/>
      <w:ind w:firstLine="720"/>
      <w:jc w:val="both"/>
    </w:pPr>
  </w:style>
  <w:style w:type="paragraph" w:styleId="ChapterTitle">
    <w:name w:val="Chapter Title"/>
    <w:basedOn w:val="Normal"/>
    <w:qFormat/>
    <w:pPr>
      <w:spacing w:before="0" w:after="240" w:line="480" w:lineRule="auto"/>
      <w:ind w:firstLine="0"/>
      <w:jc w:val="center"/>
    </w:pPr>
    <w:rPr>
      <w:b/>
      <w:sz w:val="24"/>
      <w:szCs w:val="24"/>
    </w:rPr>
  </w:style>
  <w:style w:type="paragraph" w:styleId="Heading1">
    <w:name w:val="Heading 1"/>
    <w:basedOn w:val="Normal"/>
    <w:qFormat/>
    <w:pPr>
      <w:keepNext/>
      <w:keepLines/>
      <w:spacing w:before="240" w:after="120" w:line="480" w:lineRule="auto"/>
      <w:ind w:firstLine="0"/>
      <w:jc w:val="left"/>
      <w:outlineLvl w:val="0"/>
    </w:pPr>
    <w:rPr>
      <w:b/>
      <w:sz w:val="24"/>
      <w:szCs w:val="24"/>
    </w:rPr>
  </w:style>
  <w:style w:type="paragraph" w:styleId="Heading2">
    <w:name w:val="Heading 2"/>
    <w:basedOn w:val="Normal"/>
    <w:qFormat/>
    <w:pPr>
      <w:keepNext/>
      <w:keepLines/>
      <w:spacing w:before="180" w:after="60" w:line="480" w:lineRule="auto"/>
      <w:ind w:firstLine="0"/>
      <w:jc w:val="left"/>
      <w:outlineLvl w:val="1"/>
    </w:pPr>
    <w:rPr>
      <w:b/>
      <w:i/>
      <w:sz w:val="24"/>
      <w:szCs w:val="24"/>
    </w:rPr>
  </w:style>
  <w:style w:type="paragraph" w:styleId="Caption">
    <w:name w:val="Caption"/>
    <w:basedOn w:val="Normal"/>
    <w:pPr>
      <w:keepNext/>
      <w:spacing w:before="120" w:after="60" w:line="240" w:lineRule="auto"/>
      <w:ind w:firstLine="0"/>
      <w:jc w:val="center"/>
    </w:pPr>
  </w:style>
  <w:style w:type="paragraph" w:styleId="TableText">
    <w:name w:val="Table Text"/>
    <w:basedOn w:val="Normal"/>
    <w:pPr>
      <w:spacing w:before="0" w:after="0" w:line="240" w:lineRule="auto"/>
      <w:ind w:firstLine="0"/>
      <w:jc w:val="left"/>
    </w:pPr>
    <w:rPr>
      <w:sz w:val="20"/>
      <w:szCs w:val="20"/>
    </w:rPr>
  </w:style>
  <w:style w:type="paragraph" w:styleId="ReferenceHeading">
    <w:name w:val="Reference Heading"/>
    <w:basedOn w:val="ChapterTitle"/>
    <w:qFormat/>
  </w:style>
  <w:style w:type="paragraph" w:styleId="Reference">
    <w:name w:val="Reference"/>
    <w:basedOn w:val="Normal"/>
    <w:pPr>
      <w:spacing w:after="0" w:line="480" w:lineRule="auto"/>
      <w:ind w:left="720" w:hanging="720"/>
      <w:jc w:val="left"/>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 Chapter 2 Builder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Review of Related Literature and Studies</dc:title>
  <dc:subject>Machine Learning Classification of AI-Generated and Real Text-Containing Images Using Visual Text-Region Features</dc:subject>
  <dc:creator>Research draft</dc:creator>
  <cp:lastModifiedBy>Codex</cp:lastModifiedBy>
  <dcterms:created xsi:type="dcterms:W3CDTF">2026-09-19T15:57:54Z</dcterms:created>
  <dcterms:modified xsi:type="dcterms:W3CDTF">2026-09-19T15:57:54Z</dcterms:modified>
</cp:coreProperties>
</file>