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CS 124 – THESIS 1</w:t>
      </w:r>
    </w:p>
    <w:p>
      <w:pPr>
        <w:jc w:val="center"/>
      </w:pPr>
      <w:r>
        <w:rPr>
          <w:b/>
          <w:sz w:val="28"/>
        </w:rPr>
        <w:t>THESIS TOPIC PROPOSAL</w:t>
      </w:r>
    </w:p>
    <w:p/>
    <w:p>
      <w:pPr>
        <w:jc w:val="center"/>
      </w:pPr>
      <w:r>
        <w:rPr>
          <w:b/>
          <w:sz w:val="28"/>
        </w:rPr>
        <w:t>Evaluating OCR-Derived Spatial Layout Cues for Lightweight Detection of</w:t>
        <w:br/>
        <w:t>AI-Generated Text-Rich Images Across Text-Density Levels</w:t>
      </w:r>
    </w:p>
    <w:p/>
    <w:p>
      <w:pPr>
        <w:jc w:val="center"/>
      </w:pPr>
      <w:r>
        <w:t>Name 1</w:t>
      </w:r>
    </w:p>
    <w:p>
      <w:pPr>
        <w:jc w:val="center"/>
      </w:pPr>
      <w:r>
        <w:t>Name 2</w:t>
      </w:r>
    </w:p>
    <w:p>
      <w:pPr>
        <w:jc w:val="center"/>
      </w:pPr>
      <w:r>
        <w:t>Name 3</w:t>
      </w:r>
    </w:p>
    <w:p/>
    <w:p>
      <w:pPr>
        <w:jc w:val="center"/>
      </w:pPr>
      <w:r>
        <w:rPr>
          <w:i/>
        </w:rPr>
        <w:t>Prepared for Adviser Review</w:t>
      </w:r>
    </w:p>
    <w:p>
      <w:r>
        <w:br w:type="page"/>
      </w:r>
    </w:p>
    <w:p>
      <w:pPr>
        <w:pStyle w:val="Heading1"/>
      </w:pPr>
      <w:r>
        <w:t>I. Proposed Title</w:t>
      </w:r>
    </w:p>
    <w:p>
      <w:pPr>
        <w:jc w:val="center"/>
      </w:pPr>
      <w:r>
        <w:rPr>
          <w:b/>
        </w:rPr>
        <w:t>Evaluating OCR-Derived Spatial Layout Cues for Lightweight Detection of AI-Generated Text-Rich Images Across Text-Density Levels</w:t>
      </w:r>
    </w:p>
    <w:p>
      <w:pPr>
        <w:pStyle w:val="Heading2"/>
      </w:pPr>
      <w:r>
        <w:t>Identify the Following</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Criterion</w:t>
            </w:r>
          </w:p>
        </w:tc>
        <w:tc>
          <w:tcPr>
            <w:tcW w:type="dxa" w:w="4680"/>
            <w:vAlign w:val="center"/>
          </w:tcPr>
          <w:p>
            <w:r>
              <w:rPr>
                <w:b/>
              </w:rPr>
              <w:t>Proposed Study</w:t>
            </w:r>
          </w:p>
        </w:tc>
      </w:tr>
      <w:tr>
        <w:tc>
          <w:tcPr>
            <w:tcW w:type="dxa" w:w="4680"/>
            <w:vAlign w:val="top"/>
          </w:tcPr>
          <w:p>
            <w:pPr>
              <w:spacing w:line="276" w:lineRule="auto"/>
            </w:pPr>
            <w:r>
              <w:t>CS Domain</w:t>
            </w:r>
          </w:p>
        </w:tc>
        <w:tc>
          <w:tcPr>
            <w:tcW w:type="dxa" w:w="4680"/>
            <w:vAlign w:val="top"/>
          </w:tcPr>
          <w:p>
            <w:pPr>
              <w:spacing w:line="276" w:lineRule="auto"/>
            </w:pPr>
            <w:r>
              <w:t>Artificial Perception (Computer Vision), with Machine Learning and Artificial Intelligence</w:t>
            </w:r>
          </w:p>
        </w:tc>
      </w:tr>
      <w:tr>
        <w:tc>
          <w:tcPr>
            <w:tcW w:type="dxa" w:w="4680"/>
            <w:vAlign w:val="top"/>
          </w:tcPr>
          <w:p>
            <w:pPr>
              <w:spacing w:line="276" w:lineRule="auto"/>
            </w:pPr>
            <w:r>
              <w:t>Computing Contribution</w:t>
            </w:r>
          </w:p>
        </w:tc>
        <w:tc>
          <w:tcPr>
            <w:tcW w:type="dxa" w:w="4680"/>
            <w:vAlign w:val="top"/>
          </w:tcPr>
          <w:p>
            <w:pPr>
              <w:spacing w:line="276" w:lineRule="auto"/>
            </w:pPr>
            <w:r>
              <w:t>Controlled lightweight visual-layout classification framework that evaluates explicit OCR-derived page-level spatial-layout representations against a visual-only baseline and through feature-fusion experiments</w:t>
            </w:r>
          </w:p>
        </w:tc>
      </w:tr>
      <w:tr>
        <w:tc>
          <w:tcPr>
            <w:tcW w:type="dxa" w:w="4680"/>
            <w:vAlign w:val="top"/>
          </w:tcPr>
          <w:p>
            <w:pPr>
              <w:spacing w:line="276" w:lineRule="auto"/>
            </w:pPr>
            <w:r>
              <w:t>BU Agenda</w:t>
            </w:r>
          </w:p>
        </w:tc>
        <w:tc>
          <w:tcPr>
            <w:tcW w:type="dxa" w:w="4680"/>
            <w:vAlign w:val="top"/>
          </w:tcPr>
          <w:p>
            <w:pPr>
              <w:spacing w:line="276" w:lineRule="auto"/>
            </w:pPr>
            <w:r>
              <w:t>Global Competitiveness of Business and Industry – supporting trustworthy digital transformation and responsible use of AI-generated visual content</w:t>
            </w:r>
          </w:p>
        </w:tc>
      </w:tr>
      <w:tr>
        <w:tc>
          <w:tcPr>
            <w:tcW w:type="dxa" w:w="4680"/>
            <w:vAlign w:val="top"/>
          </w:tcPr>
          <w:p>
            <w:pPr>
              <w:spacing w:line="276" w:lineRule="auto"/>
            </w:pPr>
            <w:r>
              <w:t>SDG</w:t>
            </w:r>
          </w:p>
        </w:tc>
        <w:tc>
          <w:tcPr>
            <w:tcW w:type="dxa" w:w="4680"/>
            <w:vAlign w:val="top"/>
          </w:tcPr>
          <w:p>
            <w:pPr>
              <w:spacing w:line="276" w:lineRule="auto"/>
            </w:pPr>
            <w:r>
              <w:t>Primary: SDG 9 – Industry, Innovation and Infrastructure; Secondary relevance: SDG 16 – Peace, Justice and Strong Institutions</w:t>
            </w:r>
          </w:p>
        </w:tc>
      </w:tr>
      <w:tr>
        <w:tc>
          <w:tcPr>
            <w:tcW w:type="dxa" w:w="4680"/>
            <w:vAlign w:val="top"/>
          </w:tcPr>
          <w:p>
            <w:pPr>
              <w:spacing w:line="276" w:lineRule="auto"/>
            </w:pPr>
            <w:r>
              <w:t>Beneficiary</w:t>
            </w:r>
          </w:p>
        </w:tc>
        <w:tc>
          <w:tcPr>
            <w:tcW w:type="dxa" w:w="4680"/>
            <w:vAlign w:val="top"/>
          </w:tcPr>
          <w:p>
            <w:pPr>
              <w:spacing w:line="276" w:lineRule="auto"/>
            </w:pPr>
            <w:r>
              <w:t>Organizations, educators, digital-content practitioners, researchers, and users who rely on text-rich digital images and need support for content-authenticity assessment</w:t>
            </w:r>
          </w:p>
        </w:tc>
      </w:tr>
      <w:tr>
        <w:tc>
          <w:tcPr>
            <w:tcW w:type="dxa" w:w="4680"/>
            <w:vAlign w:val="top"/>
          </w:tcPr>
          <w:p>
            <w:pPr>
              <w:spacing w:line="276" w:lineRule="auto"/>
            </w:pPr>
            <w:r>
              <w:t>Expected Innovation</w:t>
            </w:r>
          </w:p>
        </w:tc>
        <w:tc>
          <w:tcPr>
            <w:tcW w:type="dxa" w:w="4680"/>
            <w:vAlign w:val="top"/>
          </w:tcPr>
          <w:p>
            <w:pPr>
              <w:spacing w:line="276" w:lineRule="auto"/>
            </w:pPr>
            <w:r>
              <w:t>A lightweight, controlled evaluation of page-level OCR-derived spatial-layout cues—without OCR text semantics—as complementary evidence for AI-generated text-rich image detection, including analysis across text-density levels</w:t>
            </w:r>
          </w:p>
        </w:tc>
      </w:tr>
    </w:tbl>
    <w:p>
      <w:pPr>
        <w:pStyle w:val="Heading1"/>
      </w:pPr>
      <w:r>
        <w:t>Background</w:t>
      </w:r>
    </w:p>
    <w:p>
      <w:pPr>
        <w:pStyle w:val="Heading2"/>
      </w:pPr>
      <w:r>
        <w:t>Context and Relevance</w:t>
      </w:r>
    </w:p>
    <w:p>
      <w:pPr>
        <w:spacing w:line="360" w:lineRule="auto"/>
        <w:ind w:firstLine="720"/>
        <w:jc w:val="both"/>
      </w:pPr>
      <w:r>
        <w:t>Generative image systems have advanced from producing primarily natural or artistic scenes to generating visually structured content that contains readable text, interface elements, tables, posters, receipts, and other document-like compositions. This development expands the usefulness of generative artificial intelligence, but it also complicates visual content-authenticity assessment because synthetic outputs can increasingly resemble materials that users normally treat as informational, transactional, academic, or organizational artifacts. Recent work on TextRich specifically frames AI-generated text-rich images as a digital-trust and content-authenticity problem and reports a benchmark covering commercial posters, infographic charts, academic posters, receipts, tables, and user-interface screenshots (Wang et al., 2026).</w:t>
      </w:r>
    </w:p>
    <w:p>
      <w:pPr>
        <w:spacing w:line="360" w:lineRule="auto"/>
        <w:ind w:firstLine="720"/>
        <w:jc w:val="both"/>
      </w:pPr>
      <w:r>
        <w:t>The broader problem of AI-generated image detection is already well established in Computer Vision. Large benchmarks such as GenImage have enabled the evaluation of detectors across generators and image degradations, while more recent work has shown that strong benchmark performance does not necessarily imply robust performance under new generators, altered distributions, or practical post-processing conditions (Zhu et al., 2023; Li et al., 2025). These findings make controlled evaluation important, especially when a target image domain differs substantially from the natural-image data on which many detectors were developed.</w:t>
      </w:r>
    </w:p>
    <w:p>
      <w:pPr>
        <w:spacing w:line="360" w:lineRule="auto"/>
        <w:ind w:firstLine="720"/>
        <w:jc w:val="both"/>
      </w:pPr>
      <w:r>
        <w:t>Text-rich images are a particularly important case because their visual structure is not defined only by objects and textures. Their meaning and appearance are also strongly shaped by the number, placement, size, alignment, and spatial distribution of textual regions. Wang et al. (2026) found substantial category-dependent variation among existing detectors on TextRich and identified highly structured categories, particularly tables, as difficult cases for several approaches. Independently, Zhang et al. (2026) introduced the TextFake benchmark and reported a systematic detection gap on text-rich images, including a 'Text Density Curse' in which the performance of many spatial and frequency-oriented detectors declined as visible text increased.</w:t>
      </w:r>
    </w:p>
    <w:p>
      <w:pPr>
        <w:pStyle w:val="Heading2"/>
      </w:pPr>
      <w:r>
        <w:t>Connection to Sustainable Development Goals (SDGs), Research Agendas, and Strategic Priorities</w:t>
      </w:r>
    </w:p>
    <w:p>
      <w:pPr>
        <w:spacing w:line="360" w:lineRule="auto"/>
        <w:ind w:firstLine="720"/>
        <w:jc w:val="both"/>
      </w:pPr>
      <w:r>
        <w:t>The proposed study is primarily aligned with SDG 9: Industry, Innovation and Infrastructure because it investigates a computing method that may support more trustworthy and responsible use of generative visual technologies in digital workflows. It also has secondary relevance to SDG 16: Peace, Justice and Strong Institutions because content-authenticity technologies can contribute to information integrity and verification. The Bicol University thesis-domain guide encourages Computer Science studies that support innovation and digital transformation while maintaining a substantial computing contribution, and it identifies Global Competitiveness of Business and Industry as a relevant research-agenda area for technology-driven innovation (Bicol University College of Science, 2026a).</w:t>
      </w:r>
    </w:p>
    <w:p>
      <w:pPr>
        <w:spacing w:line="360" w:lineRule="auto"/>
        <w:ind w:firstLine="720"/>
        <w:jc w:val="both"/>
      </w:pPr>
      <w:r>
        <w:t>The study does not claim to solve misinformation, fraud, or institutional verification by itself. Its more limited contribution is technical: to determine whether a lightweight detector can benefit from explicitly representing the spatial organization of OCR-detected text regions. If useful, such evidence could inform future authenticity-assessment tools for organizations and users who work with receipts, posters, tables, screenshots, and other text-rich visual content.</w:t>
      </w:r>
    </w:p>
    <w:p>
      <w:pPr>
        <w:pStyle w:val="Heading2"/>
      </w:pPr>
      <w:r>
        <w:t>Existing Challenges, Limitations, and Research Gaps</w:t>
      </w:r>
    </w:p>
    <w:p>
      <w:pPr>
        <w:spacing w:line="360" w:lineRule="auto"/>
        <w:ind w:firstLine="720"/>
        <w:jc w:val="both"/>
      </w:pPr>
      <w:r>
        <w:t>Existing AI-generated image detectors commonly rely on learned visual representations, local spatial artifacts, frequency characteristics, or foundation-model features. Although these approaches can perform strongly on conventional benchmarks, recent evaluations show that generalization remains difficult when the target distribution changes (Li et al., 2025). Text-rich benchmarks further demonstrate that dense glyphs and structured layouts can interfere with cues that work well on natural images (Wang et al., 2026; Zhang et al., 2026). Therefore, a detector that uses only global image pixels may not fully exploit information that is naturally present in the arrangement of text regions.</w:t>
      </w:r>
    </w:p>
    <w:p>
      <w:pPr>
        <w:spacing w:line="360" w:lineRule="auto"/>
        <w:ind w:firstLine="720"/>
        <w:jc w:val="both"/>
      </w:pPr>
      <w:r>
        <w:t>At the same time, the use of OCR or layout information is not itself new. Joren et al. (2020) used OCR-derived bounding-box graph features to detect manipulations in business documents, showing that spatial relationships among recognized character regions can be useful forensic signals. More recent text-forensics research also uses OCR outputs to support localization and reasoning for tampered text (Qu et al., 2026). These studies establish that OCR and spatial information can contribute to document forensics, but they address manipulation or tampering settings that differ from the classification of fully AI-generated multi-domain text-rich images.</w:t>
      </w:r>
    </w:p>
    <w:p>
      <w:pPr>
        <w:spacing w:line="360" w:lineRule="auto"/>
        <w:ind w:firstLine="720"/>
        <w:jc w:val="both"/>
      </w:pPr>
      <w:r>
        <w:t>Recent work on generated text quality provides another related direction. Koltsov et al. (2026) showed that rendered-text quality contains information that is not adequately captured by OCR correctness alone. However, text-quality assessment and authenticity classification are different tasks. The present study deliberately avoids using recognized words or semantic text content and instead focuses on page-level geometry: where OCR-detected text regions occur, how large and dispersed they are, and how much of the page they occupy.</w:t>
      </w:r>
    </w:p>
    <w:p>
      <w:pPr>
        <w:spacing w:line="360" w:lineRule="auto"/>
        <w:ind w:firstLine="720"/>
        <w:jc w:val="both"/>
      </w:pPr>
      <w:r>
        <w:t>Within the scoped literature reviewed for this proposal, no direct study was identified that performs a controlled ablation of an explicit page-level OCR-derived spatial-layout representation, a lightweight visual detector, and their feature-level fusion for fully AI-generated multi-domain text-rich images while also analyzing the contribution of the layout cue across text-density levels. This statement is a bounded research-gap observation rather than a claim that no such work exists anywhere. The proposed study therefore focuses on evaluating this specific intersection instead of claiming that OCR, layout analysis, or visual-text fusion is newly invented.</w:t>
      </w:r>
    </w:p>
    <w:p>
      <w:pPr>
        <w:pStyle w:val="Heading2"/>
      </w:pPr>
      <w:r>
        <w:t>Opportunities and Proposed Computing Approach</w:t>
      </w:r>
    </w:p>
    <w:p>
      <w:pPr>
        <w:spacing w:line="360" w:lineRule="auto"/>
        <w:ind w:firstLine="720"/>
        <w:jc w:val="both"/>
      </w:pPr>
      <w:r>
        <w:t>The proposed study will treat AI-generated text-rich image detection as a binary Computer Vision classification problem with AI-generated images as the positive class. A lightweight visual-only model will first establish how much discriminatory information can be learned from image pixels alone. OCR text detection will then be used to obtain only the coordinates of text regions; recognized words and semantic text features will not be used. From these coordinates, the study will derive page-level geometric features and normalized binary spatial-layout maps.</w:t>
      </w:r>
    </w:p>
    <w:p>
      <w:pPr>
        <w:spacing w:line="360" w:lineRule="auto"/>
        <w:ind w:firstLine="720"/>
        <w:jc w:val="both"/>
      </w:pPr>
      <w:r>
        <w:t>The central experimental opportunity is to test complementarity. Instead of assuming that layout information is useful, the study will compare a visual-only detector, layout-only representations, and a visual-layout fusion model under the same data splits and evaluation protocol. The primary comparison will be between the visual-only baseline and the fusion model. If the fused model improves consistently, the result would provide evidence that explicit OCR-derived layout carries complementary information. If it does not, the negative result will still answer the research question and will be reported without result-driven redesign.</w:t>
      </w:r>
    </w:p>
    <w:p>
      <w:pPr>
        <w:spacing w:line="360" w:lineRule="auto"/>
        <w:ind w:firstLine="720"/>
        <w:jc w:val="both"/>
      </w:pPr>
      <w:r>
        <w:t>Text density will be treated as an analysis variable rather than a model input. In this study, text density is operationalized as the union area of all OCR-detected text polygons divided by the total source-image area. Low, medium, and high density groups are defined using thresholds derived only from the training distribution. This differs from the character-count proxy used in TextFake and allows the present work to analyze spatial text coverage without depending on recognized text content (Zhang et al., 2026).</w:t>
      </w:r>
    </w:p>
    <w:p>
      <w:pPr>
        <w:pStyle w:val="Heading2"/>
      </w:pPr>
      <w:r>
        <w:t>Discussion of Computing Components and Research Areas</w:t>
      </w:r>
    </w:p>
    <w:p>
      <w:pPr>
        <w:spacing w:line="360" w:lineRule="auto"/>
        <w:ind w:firstLine="720"/>
        <w:jc w:val="both"/>
      </w:pPr>
      <w:r>
        <w:t>The study combines Computer Vision, deep learning, OCR-based geometric processing, and controlled experimental evaluation. The visual branch is designed around MobileNetV3-Small, a lightweight convolutional neural network architecture developed for resource-constrained visual tasks (Howard et al., 2019). Its role is to provide the visual-only baseline and, in the fusion model, a compact visual embedding of the complete image.</w:t>
      </w:r>
    </w:p>
    <w:p>
      <w:pPr>
        <w:spacing w:line="360" w:lineRule="auto"/>
        <w:ind w:firstLine="720"/>
        <w:jc w:val="both"/>
      </w:pPr>
      <w:r>
        <w:t>The OCR component performs text detection only. It produces quadrilateral regions representing detected text locations. These regions are converted into two layout representations. The first representation consists of interpretable geometric statistics such as region count, page coverage, normalized region dimensions, centroid dispersion, and nearest-neighbor spacing. The second representation is a 64×64 binary layout map that preserves the normalized locations occupied by detected text while discarding original pixels, color, typography, and word semantics.</w:t>
      </w:r>
    </w:p>
    <w:p>
      <w:pPr>
        <w:spacing w:line="360" w:lineRule="auto"/>
        <w:ind w:firstLine="720"/>
        <w:jc w:val="both"/>
      </w:pPr>
      <w:r>
        <w:t>The fusion model combines a visual embedding with a learned embedding of the OCR-derived layout representation before binary classification. The branches do not vote independently; instead, their features are concatenated and classified jointly. This design keeps the architecture simple so that the study measures the usefulness of the added cue rather than the effect of an unnecessarily complex fusion mechanism.</w:t>
      </w:r>
    </w:p>
    <w:p>
      <w:pPr>
        <w:spacing w:line="360" w:lineRule="auto"/>
        <w:ind w:firstLine="720"/>
        <w:jc w:val="both"/>
      </w:pPr>
      <w:r>
        <w:t>Evaluation will emphasize reproducibility and ablation. All models will use the same frozen training, validation, and test partitions. Model development and checkpoint selection will use only the training and validation partitions, while the test partition will remain untouched until the methodology is finalized. Performance will be assessed using accuracy, precision, recall, F1-score, macro-F1, and ROC-AUC, with additional category-level and text-density-level analysis.</w:t>
      </w:r>
    </w:p>
    <w:p>
      <w:pPr>
        <w:pStyle w:val="Heading2"/>
      </w:pPr>
      <w:r>
        <w:t>Concluding Synthesis</w:t>
      </w:r>
    </w:p>
    <w:p>
      <w:pPr>
        <w:spacing w:line="360" w:lineRule="auto"/>
        <w:ind w:firstLine="720"/>
        <w:jc w:val="both"/>
      </w:pPr>
      <w:r>
        <w:t>AI-generated image detection is an established Computer Vision problem, but the emergence of highly structured, text-rich synthetic imagery introduces a domain in which conventional visual cues may behave differently. Recent benchmarks show both category-specific failure modes and sensitivity to text density, while related document-forensics work demonstrates that OCR-derived spatial information can contain useful forensic structure. These findings motivate a controlled study of whether explicit page-level layout geometry provides information that is complementary to a lightweight visual detector.</w:t>
      </w:r>
    </w:p>
    <w:p>
      <w:pPr>
        <w:spacing w:line="360" w:lineRule="auto"/>
        <w:ind w:firstLine="720"/>
        <w:jc w:val="both"/>
      </w:pPr>
      <w:r>
        <w:t>Accordingly, the proposed research will not claim that OCR or layout analysis is a new technique. Its contribution is the controlled evaluation of a defined spatial-layout representation and its fusion with a lightweight visual model for fully AI-generated text-rich images, with particular attention to how performance changes across text-density levels. The study is designed so that positive, mixed, or negative findings can all produce a valid answer to the research problem.</w:t>
      </w:r>
    </w:p>
    <w:p>
      <w:pPr>
        <w:pStyle w:val="Heading1"/>
      </w:pPr>
      <w:r>
        <w:t>Introduction of the Proposed System</w:t>
      </w:r>
    </w:p>
    <w:p>
      <w:pPr>
        <w:pStyle w:val="Heading2"/>
      </w:pPr>
      <w:r>
        <w:t>Core Idea and Computing Innovation</w:t>
      </w:r>
    </w:p>
    <w:p>
      <w:pPr>
        <w:spacing w:line="360" w:lineRule="auto"/>
        <w:ind w:firstLine="720"/>
        <w:jc w:val="both"/>
      </w:pPr>
      <w:r>
        <w:t>The proposed solution is a lightweight AI-generated text-rich image detection framework and research prototype that evaluates two sources of evidence: global visual appearance and the spatial organization of OCR-detected text regions. The core computing contribution is not the invention of OCR, but the explicit construction and controlled assessment of page-level layout cues as an auxiliary modality for real-versus-AI classification.</w:t>
      </w:r>
    </w:p>
    <w:p>
      <w:pPr>
        <w:spacing w:line="360" w:lineRule="auto"/>
        <w:ind w:firstLine="720"/>
        <w:jc w:val="both"/>
      </w:pPr>
      <w:r>
        <w:t>The framework will contain three experimental model families. Model A is a visual-only baseline using MobileNetV3-Small. Model B is layout-only and will evaluate both interpretable geometric statistics and a binary spatial-layout map. Model C is a visual-layout fusion model that concatenates visual and layout embeddings before a small multilayer classifier. The principal hypothesis test is whether Model C provides a meaningful and consistent improvement over Model A, particularly on images with higher text density.</w:t>
      </w:r>
    </w:p>
    <w:p>
      <w:pPr>
        <w:pStyle w:val="Heading2"/>
      </w:pPr>
      <w:r>
        <w:t>Intended Functionality and System Components</w:t>
      </w:r>
    </w:p>
    <w:p>
      <w:pPr>
        <w:spacing w:line="360" w:lineRule="auto"/>
        <w:ind w:firstLine="720"/>
        <w:jc w:val="both"/>
      </w:pPr>
      <w:r>
        <w:t>The research prototype will accept a text-rich image as input, apply the common clean image-loading policy, obtain OCR text-region coordinates, construct the required layout representation, and perform authenticity classification using the selected final model. The prototype is intended as an experimental demonstration rather than a production forensic service.</w:t>
      </w:r>
    </w:p>
    <w:p>
      <w:pPr>
        <w:spacing w:line="360" w:lineRule="auto"/>
        <w:ind w:firstLine="720"/>
        <w:jc w:val="both"/>
      </w:pPr>
      <w:r>
        <w:t>Its major components will include: (1) image input and preprocessing; (2) OCR text-region detection; (3) layout-feature and layout-map generation; (4) visual and/or layout-based classification; and (5) result presentation. The result interface may display the predicted class, model confidence, OCR-derived text-density level, and a visual representation of detected text regions for diagnostic purposes. These displays are explanatory outputs and will not be presented as legal or forensic proof.</w:t>
      </w:r>
    </w:p>
    <w:p>
      <w:pPr>
        <w:pStyle w:val="Heading2"/>
      </w:pPr>
      <w:r>
        <w:t>Problem Addressed and Expected Benefits</w:t>
      </w:r>
    </w:p>
    <w:p>
      <w:pPr>
        <w:spacing w:line="360" w:lineRule="auto"/>
        <w:ind w:firstLine="720"/>
        <w:jc w:val="both"/>
      </w:pPr>
      <w:r>
        <w:t>The framework addresses the limitation that a conventional visual detector may rely primarily on image artifacts while ignoring explicit page organization. By separately measuring visual-only, layout-only, and fused performance, the study can determine whether layout geometry provides independent or complementary discriminatory information. The text-density analysis further evaluates whether any benefit changes as the amount of visible text increases.</w:t>
      </w:r>
    </w:p>
    <w:p>
      <w:pPr>
        <w:spacing w:line="360" w:lineRule="auto"/>
        <w:ind w:firstLine="720"/>
        <w:jc w:val="both"/>
      </w:pPr>
      <w:r>
        <w:t>The expected benefit is new empirical evidence about a specific detection strategy for text-rich synthetic media. For researchers, the ablation can clarify whether simple page-level layout representations are worth integrating into lightweight detectors. For future developers and organizations, the resulting prototype can demonstrate a computationally modest authenticity-assessment workflow that can be extended or validated on broader data.</w:t>
      </w:r>
    </w:p>
    <w:p>
      <w:pPr>
        <w:pStyle w:val="Heading2"/>
      </w:pPr>
      <w:r>
        <w:t>Relationship to Existing Studies</w:t>
      </w:r>
    </w:p>
    <w:p>
      <w:pPr>
        <w:spacing w:line="360" w:lineRule="auto"/>
        <w:ind w:firstLine="720"/>
        <w:jc w:val="both"/>
      </w:pPr>
      <w:r>
        <w:t>The proposed work builds on three related research directions. First, general AIGI benchmarks such as GenImage and AIGIBench establish the importance of generalization and robustness in synthetic-image detection (Zhu et al., 2023; Li et al., 2025). Second, TextRich and TextFake show that text-rich images form a distinct and difficult evaluation setting, with category-dependent performance and density-related degradation (Wang et al., 2026; Zhang et al., 2026). Third, OCR-based document-forensics studies demonstrate that spatial text structure can be used as forensic evidence (Joren et al., 2020; Qu et al., 2026).</w:t>
      </w:r>
    </w:p>
    <w:p>
      <w:pPr>
        <w:spacing w:line="360" w:lineRule="auto"/>
        <w:ind w:firstLine="720"/>
        <w:jc w:val="both"/>
      </w:pPr>
      <w:r>
        <w:t>The proposed study connects these directions through a controlled, lightweight architecture that intentionally excludes OCR word semantics. Rather than developing a large multimodal language model, it asks a narrower and more feasible question: whether normalized page-level OCR geometry adds measurable value to a compact visual classifier for fully generated text-rich images.</w:t>
      </w:r>
    </w:p>
    <w:p>
      <w:pPr>
        <w:pStyle w:val="Heading2"/>
      </w:pPr>
      <w:r>
        <w:t>Concluding Overview</w:t>
      </w:r>
    </w:p>
    <w:p>
      <w:pPr>
        <w:spacing w:line="360" w:lineRule="auto"/>
        <w:ind w:firstLine="720"/>
        <w:jc w:val="both"/>
      </w:pPr>
      <w:r>
        <w:t>The proposed system therefore serves as an experimental vehicle for evaluating a defined Computer Science contribution. Its design prioritizes controlled comparison, reproducibility, lightweight computation, and clear interpretation of the added layout cue. The final model choice will be based on the predetermined training and validation protocol, and the independent test partition will be used only after the experimental method has been finalized.</w:t>
      </w:r>
    </w:p>
    <w:p>
      <w:pPr>
        <w:pStyle w:val="Heading1"/>
      </w:pPr>
      <w:r>
        <w:t>General Objective</w:t>
      </w:r>
    </w:p>
    <w:p>
      <w:pPr>
        <w:spacing w:line="360" w:lineRule="auto"/>
        <w:jc w:val="both"/>
      </w:pPr>
      <w:r>
        <w:t>The primary goal of this study is to develop and evaluate a lightweight Computer Vision framework that determines whether explicit OCR-derived page-level spatial-layout cues provide complementary information for detecting AI-generated text-rich images across varying text-density levels.</w:t>
      </w:r>
    </w:p>
    <w:p>
      <w:pPr>
        <w:pStyle w:val="Heading1"/>
      </w:pPr>
      <w:r>
        <w:t>Specific Objectives</w:t>
      </w:r>
    </w:p>
    <w:p>
      <w:pPr>
        <w:spacing w:line="360" w:lineRule="auto"/>
        <w:ind w:left="360" w:hanging="360"/>
      </w:pPr>
      <w:r>
        <w:rPr>
          <w:b w:val="0"/>
        </w:rPr>
        <w:t xml:space="preserve">1. </w:t>
      </w:r>
      <w:r>
        <w:t>To prepare a controlled dataset of real and AI-generated text-rich images from the TextRich benchmark by applying integrity checks, duplicate and near-duplicate controls, deterministic balanced sampling, and fixed training, validation, and test partitions across six structured image categories;</w:t>
      </w:r>
    </w:p>
    <w:p>
      <w:pPr>
        <w:spacing w:line="360" w:lineRule="auto"/>
        <w:ind w:left="360" w:hanging="360"/>
      </w:pPr>
      <w:r>
        <w:rPr>
          <w:b w:val="0"/>
        </w:rPr>
        <w:t xml:space="preserve">2. </w:t>
      </w:r>
      <w:r>
        <w:t>To implement and compare a lightweight visual-only detector, OCR-derived layout-only representations, and a visual-layout fusion model using page-level geometric features and normalized binary spatial-layout maps while excluding recognized text semantics from the layout input;</w:t>
      </w:r>
    </w:p>
    <w:p>
      <w:pPr>
        <w:spacing w:line="360" w:lineRule="auto"/>
        <w:ind w:left="360" w:hanging="360"/>
      </w:pPr>
      <w:r>
        <w:rPr>
          <w:b w:val="0"/>
        </w:rPr>
        <w:t xml:space="preserve">3. </w:t>
      </w:r>
      <w:r>
        <w:t>To design and develop a research prototype that integrates image preprocessing, OCR text-region detection, layout representation, authenticity classification, and presentation of prediction and diagnostic outputs for text-rich images; and</w:t>
      </w:r>
    </w:p>
    <w:p>
      <w:pPr>
        <w:spacing w:line="360" w:lineRule="auto"/>
        <w:ind w:left="360" w:hanging="360"/>
      </w:pPr>
      <w:r>
        <w:rPr>
          <w:b w:val="0"/>
        </w:rPr>
        <w:t xml:space="preserve">4. </w:t>
      </w:r>
      <w:r>
        <w:t>To evaluate the computational models using accuracy, precision, recall, F1-score, macro-F1, and ROC-AUC, analyze performance by image category and training-derived text-density level, and assess the prototype through functional test cases and hardware-specific inference-performance measurements.</w:t>
      </w:r>
    </w:p>
    <w:p>
      <w:pPr>
        <w:pStyle w:val="Heading1"/>
      </w:pPr>
      <w:r>
        <w:t>Scope and Limitations</w:t>
      </w:r>
    </w:p>
    <w:p>
      <w:pPr>
        <w:pStyle w:val="Heading2"/>
      </w:pPr>
      <w:r>
        <w:t>Dataset Scope</w:t>
      </w:r>
    </w:p>
    <w:p>
      <w:pPr>
        <w:spacing w:line="360" w:lineRule="auto"/>
        <w:ind w:firstLine="720"/>
        <w:jc w:val="both"/>
      </w:pPr>
      <w:r>
        <w:t>The study will use TextRich, a public multi-domain benchmark for AI-generated text-rich image detection. The current TextRich release contains 12,095 images: 6,109 generated and 5,986 real, spanning six categories—academic posters, commercial posters, infographic charts, receipts, tables, and UI screenshots (Wang et al., 2026). For the controlled undergraduate experiment, the study uses a balanced 2,400-image subset consisting of 200 real and 200 generated images from each category.</w:t>
      </w:r>
    </w:p>
    <w:p>
      <w:pPr>
        <w:spacing w:line="360" w:lineRule="auto"/>
        <w:ind w:firstLine="720"/>
        <w:jc w:val="both"/>
      </w:pPr>
      <w:r>
        <w:t>The 2,400-image subset is divided into 1,680 training images, 360 validation images, and 360 test images. Exact duplicates are reduced deterministically, strongly similar perceptual-hash clusters are restricted to one representative for experimental-subset eligibility, and the same fixed partitions are used across all model variants. The test set is treated as a one-way door: it will not be used for architecture selection, hyperparameter decisions, threshold tuning, or representation design.</w:t>
      </w:r>
    </w:p>
    <w:p>
      <w:pPr>
        <w:spacing w:line="360" w:lineRule="auto"/>
        <w:ind w:firstLine="720"/>
        <w:jc w:val="both"/>
      </w:pPr>
      <w:r>
        <w:t>Images are loaded through a common runtime preprocessing policy that decodes the source file, composites transparency onto a white background when necessary, converts the result to RGB, and prevents metadata or EXIF fields from being exposed as model inputs. The study does not create re-encoded normalized copies of the dataset. Consequently, historical compression or source-acquisition artifacts that remain in decoded pixels may still influence visual models and are acknowledged as a dataset limitation.</w:t>
      </w:r>
    </w:p>
    <w:p>
      <w:pPr>
        <w:pStyle w:val="Heading2"/>
      </w:pPr>
      <w:r>
        <w:t>Algorithm and Model Scope</w:t>
      </w:r>
    </w:p>
    <w:p>
      <w:pPr>
        <w:spacing w:line="360" w:lineRule="auto"/>
        <w:ind w:firstLine="720"/>
        <w:jc w:val="both"/>
      </w:pPr>
      <w:r>
        <w:t>The study focuses on three model families. Model A is a lightweight visual-only classifier based on MobileNetV3-Small. Model B evaluates OCR-derived layout information without original image pixels or recognized text semantics. Its first variant uses 16 frozen geometric statistics, including region count, text coverage, normalized region dimensions, centroid dispersion, and nearest-centroid spacing. Its second variant uses a 64×64 binary layout map constructed from normalized OCR polygons.</w:t>
      </w:r>
    </w:p>
    <w:p>
      <w:pPr>
        <w:spacing w:line="360" w:lineRule="auto"/>
        <w:ind w:firstLine="720"/>
        <w:jc w:val="both"/>
      </w:pPr>
      <w:r>
        <w:t>Model C combines visual and layout embeddings through feature concatenation followed by a small classifier. The principal comparison is Model A versus Model C, while Model B serves as a control for determining how much discriminative signal exists in layout alone. The initial study does not include large vision-language models, OCR-recognized word embeddings, semantic language features, transformer-based document models, ensemble voting, or extensive architecture search.</w:t>
      </w:r>
    </w:p>
    <w:p>
      <w:pPr>
        <w:spacing w:line="360" w:lineRule="auto"/>
        <w:ind w:firstLine="720"/>
        <w:jc w:val="both"/>
      </w:pPr>
      <w:r>
        <w:t>Text density is defined as the union area of OCR-detected text polygons divided by the source-image area. Global low, medium, and high density thresholds are derived from the training distribution only and are then applied unchanged to validation and test data. Density is used for post-hoc analysis and is not supplied as an explicit classifier feature unless it is already intrinsically represented by the approved layout input.</w:t>
      </w:r>
    </w:p>
    <w:p>
      <w:pPr>
        <w:pStyle w:val="Heading2"/>
      </w:pPr>
      <w:r>
        <w:t>System Scope</w:t>
      </w:r>
    </w:p>
    <w:p>
      <w:pPr>
        <w:spacing w:line="360" w:lineRule="auto"/>
        <w:ind w:firstLine="720"/>
        <w:jc w:val="both"/>
      </w:pPr>
      <w:r>
        <w:t>The developed output will be a research prototype for demonstrating the selected detection pipeline. The prototype will support image input, deterministic preprocessing, OCR text-region detection, layout-representation generation, model inference, and presentation of the predicted authenticity class. Diagnostic outputs may include confidence, text-density grouping, and an OCR-layout visualization.</w:t>
      </w:r>
    </w:p>
    <w:p>
      <w:pPr>
        <w:spacing w:line="360" w:lineRule="auto"/>
        <w:ind w:firstLine="720"/>
        <w:jc w:val="both"/>
      </w:pPr>
      <w:r>
        <w:t>The prototype is not intended to be a production-ready forensic service, browser-wide misinformation detector, social-media moderation platform, or legally authoritative verification system. Large-scale deployment, account management, cloud-scale processing, mobile optimization, advanced security mechanisms, and integration with external platforms are outside the scope of the initial study.</w:t>
      </w:r>
    </w:p>
    <w:p>
      <w:pPr>
        <w:pStyle w:val="Heading2"/>
      </w:pPr>
      <w:r>
        <w:t>Evaluation Scope</w:t>
      </w:r>
    </w:p>
    <w:p>
      <w:pPr>
        <w:spacing w:line="360" w:lineRule="auto"/>
        <w:ind w:firstLine="720"/>
        <w:jc w:val="both"/>
      </w:pPr>
      <w:r>
        <w:t>Computational performance will be evaluated using accuracy, precision, recall, F1-score, macro-F1, and ROC-AUC. Results will be reported overall and descriptively across the six image categories and the low, medium, and high text-density groups. Multiple random seeds will be used for the main learning experiments where applicable so that performance is not represented by a single favorable run.</w:t>
      </w:r>
    </w:p>
    <w:p>
      <w:pPr>
        <w:spacing w:line="360" w:lineRule="auto"/>
        <w:ind w:firstLine="720"/>
        <w:jc w:val="both"/>
      </w:pPr>
      <w:r>
        <w:t>The research prototype will be assessed through predefined functional test cases and hardware-specific inference timing. The study will not claim universal real-time performance or production-level software quality from the prototype. The primary evaluation remains the computational comparison of the detection approaches.</w:t>
      </w:r>
    </w:p>
    <w:p>
      <w:pPr>
        <w:pStyle w:val="Heading2"/>
      </w:pPr>
      <w:r>
        <w:t>Limitations of the Study</w:t>
      </w:r>
    </w:p>
    <w:p>
      <w:pPr>
        <w:pStyle w:val="ListBullet"/>
        <w:spacing w:line="360" w:lineRule="auto" w:after="0"/>
      </w:pPr>
      <w:r>
        <w:t>The generated portion of TextRich is based on GPT-Image-2; therefore, the study cannot claim generalization to all current or future image generators.</w:t>
      </w:r>
    </w:p>
    <w:p>
      <w:pPr>
        <w:pStyle w:val="ListBullet"/>
        <w:spacing w:line="360" w:lineRule="auto" w:after="0"/>
      </w:pPr>
      <w:r>
        <w:t>The real and generated images originate from different data-generation and source pipelines. Although metadata is excluded and duplicate controls are applied, residual source-domain, resolution, format, or historical compression cues may remain in decoded image pixels.</w:t>
      </w:r>
    </w:p>
    <w:p>
      <w:pPr>
        <w:pStyle w:val="ListBullet"/>
        <w:spacing w:line="360" w:lineRule="auto" w:after="0"/>
      </w:pPr>
      <w:r>
        <w:t>The balanced 2,400-image experimental subset improves control and feasibility but is smaller than the complete 12,095-image benchmark, which may limit the statistical coverage of rare visual patterns.</w:t>
      </w:r>
    </w:p>
    <w:p>
      <w:pPr>
        <w:pStyle w:val="ListBullet"/>
        <w:spacing w:line="360" w:lineRule="auto" w:after="0"/>
      </w:pPr>
      <w:r>
        <w:t>OCR text detection can miss, merge, split, or inaccurately localize text regions. The layout representation therefore depends on the behavior of the selected frozen OCR detector.</w:t>
      </w:r>
    </w:p>
    <w:p>
      <w:pPr>
        <w:pStyle w:val="ListBullet"/>
        <w:spacing w:line="360" w:lineRule="auto" w:after="0"/>
      </w:pPr>
      <w:r>
        <w:t>The study intentionally excludes recognized words and semantic text content; consequently, it does not evaluate whether textual meaning or spelling errors provide additional authenticity cues.</w:t>
      </w:r>
    </w:p>
    <w:p>
      <w:pPr>
        <w:pStyle w:val="ListBullet"/>
        <w:spacing w:line="360" w:lineRule="auto" w:after="0"/>
      </w:pPr>
      <w:r>
        <w:t>The proposed layout representations simplify page structure into geometric statistics and binary occupancy maps. They do not explicitly model reading order, typography, font identity, semantic document regions, or higher-order graph relations.</w:t>
      </w:r>
    </w:p>
    <w:p>
      <w:pPr>
        <w:pStyle w:val="ListBullet"/>
        <w:spacing w:line="360" w:lineRule="auto" w:after="0"/>
      </w:pPr>
      <w:r>
        <w:t>The study is designed to evaluate complementarity on the selected dataset rather than to establish a universally robust AI-image detector. Performance on unseen generators, social-media recompression, adversarial manipulation, and real-world deployment environments will require separate validation.</w:t>
      </w:r>
    </w:p>
    <w:p>
      <w:pPr>
        <w:pStyle w:val="ListBullet"/>
        <w:spacing w:line="360" w:lineRule="auto" w:after="0"/>
      </w:pPr>
      <w:r>
        <w:t>A negative or negligible improvement from the fusion model will be treated as a valid research result rather than hidden through post-hoc hyperparameter or architecture changes.</w:t>
      </w:r>
    </w:p>
    <w:p>
      <w:pPr>
        <w:pStyle w:val="Heading1"/>
      </w:pPr>
      <w:r>
        <w:t>References</w:t>
      </w:r>
    </w:p>
    <w:p>
      <w:pPr>
        <w:spacing w:line="276" w:lineRule="auto" w:after="120"/>
        <w:ind w:left="720" w:hanging="720"/>
      </w:pPr>
      <w:r>
        <w:t>Bicol University College of Science. (2026a). Approved areas of focus for Computer Science thesis [Departmental guideline]. Bicol University.</w:t>
      </w:r>
    </w:p>
    <w:p>
      <w:pPr>
        <w:spacing w:line="276" w:lineRule="auto" w:after="120"/>
        <w:ind w:left="720" w:hanging="720"/>
      </w:pPr>
      <w:r>
        <w:t>Bicol University College of Science. (2026b). CS 124 – Thesis 1: Thesis topic proposal template [Course document]. Bicol University.</w:t>
      </w:r>
    </w:p>
    <w:p>
      <w:pPr>
        <w:spacing w:line="276" w:lineRule="auto" w:after="120"/>
        <w:ind w:left="720" w:hanging="720"/>
      </w:pPr>
      <w:r>
        <w:t>Howard, A., Sandler, M., Chu, G., Chen, L.-C., Chen, B., Tan, M., Wang, W., Zhu, Y., Pang, R., Vasudevan, V., Le, Q. V., &amp; Adam, H. (2019). Searching for MobileNetV3. Proceedings of the IEEE/CVF International Conference on Computer Vision (ICCV), 1314–1324.</w:t>
      </w:r>
    </w:p>
    <w:p>
      <w:pPr>
        <w:spacing w:line="276" w:lineRule="auto" w:after="120"/>
        <w:ind w:left="720" w:hanging="720"/>
      </w:pPr>
      <w:r>
        <w:t>Joren, H., Gupta, O., &amp; Raviv, D. (2020). OCR graph features for manipulation detection in documents. arXiv:2009.05158. https://doi.org/10.48550/arXiv.2009.05158</w:t>
      </w:r>
    </w:p>
    <w:p>
      <w:pPr>
        <w:spacing w:line="276" w:lineRule="auto" w:after="120"/>
        <w:ind w:left="720" w:hanging="720"/>
      </w:pPr>
      <w:r>
        <w:t>Koltsov, K., Gushchin, A., Vatolin, D., &amp; Antsiferova, A. (2026). TIQA: Human-aligned perceptual text quality assessment in generated images. arXiv:2603.07119. https://doi.org/10.48550/arXiv.2603.07119</w:t>
      </w:r>
    </w:p>
    <w:p>
      <w:pPr>
        <w:spacing w:line="276" w:lineRule="auto" w:after="120"/>
        <w:ind w:left="720" w:hanging="720"/>
      </w:pPr>
      <w:r>
        <w:t>Li, Z., Yan, J., He, Z., Zeng, K., Jiang, W., Xiong, L., &amp; Fu, Z. (2025). Is artificial intelligence generated image detection a solved problem? arXiv:2505.12335. Accepted to the NeurIPS 2025 Datasets and Benchmarks Track. https://doi.org/10.48550/arXiv.2505.12335</w:t>
      </w:r>
    </w:p>
    <w:p>
      <w:pPr>
        <w:spacing w:line="276" w:lineRule="auto" w:after="120"/>
        <w:ind w:left="720" w:hanging="720"/>
      </w:pPr>
      <w:r>
        <w:t>Qu, C., Zhong, Y., Liu, J., Zhu, X., Yu, B., &amp; Jin, L. (2026). TextShield-R1: Reinforced reasoning for tampered text detection. arXiv:2602.19828. https://doi.org/10.48550/arXiv.2602.19828</w:t>
      </w:r>
    </w:p>
    <w:p>
      <w:pPr>
        <w:spacing w:line="276" w:lineRule="auto" w:after="120"/>
        <w:ind w:left="720" w:hanging="720"/>
      </w:pPr>
      <w:r>
        <w:t>Wang, Y., Wang, S., Zhang, W., &amp; Ouyang, Y. (2026). TextRich: A multi-domain benchmark for detecting AI-generated text-rich images from GPT-Image-2. arXiv:2606.19259. https://doi.org/10.48550/arXiv.2606.19259</w:t>
      </w:r>
    </w:p>
    <w:p>
      <w:pPr>
        <w:spacing w:line="276" w:lineRule="auto" w:after="120"/>
        <w:ind w:left="720" w:hanging="720"/>
      </w:pPr>
      <w:r>
        <w:t>Zhang, Y., Miao, C., Liao, M., Liu, T., Wang, X., Gong, T., Chu, Q., &amp; Yu, N. (2026). TextFake: Benchmarking AI-generated image detection on text-rich images. arXiv:2606.01050. https://doi.org/10.48550/arXiv.2606.01050</w:t>
      </w:r>
    </w:p>
    <w:p>
      <w:pPr>
        <w:spacing w:line="276" w:lineRule="auto" w:after="120"/>
        <w:ind w:left="720" w:hanging="720"/>
      </w:pPr>
      <w:r>
        <w:t>Zhu, M., Chen, H., Yan, Q., Huang, X., Lin, G., Li, W., Tu, Z., Hu, H., Hu, J., &amp; Wang, Y. (2023). GenImage: A million-scale benchmark for detecting AI-generated image. Advances in Neural Information Processing Systems, 36, 77771–77782.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CS 124 – Thesis Topic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sz w:val="24"/>
      <w:szCs w:val="28"/>
      <w:color w:val="000000"/>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i w:val="0"/>
      <w:sz w:val="24"/>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