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6"/>
        </w:rPr>
        <w:t>CS 124 - THESIS 1</w:t>
      </w:r>
    </w:p>
    <w:p>
      <w:pPr>
        <w:ind w:firstLine="0"/>
        <w:jc w:val="center"/>
      </w:pPr>
      <w:r>
        <w:rPr>
          <w:rFonts w:ascii="Times New Roman" w:hAnsi="Times New Roman"/>
          <w:b/>
          <w:sz w:val="28"/>
        </w:rPr>
        <w:t>THESIS TOPIC PROPOSAL</w:t>
      </w:r>
    </w:p>
    <w:p/>
    <w:p>
      <w:pPr>
        <w:spacing w:after="240"/>
        <w:ind w:firstLine="0"/>
        <w:jc w:val="center"/>
      </w:pPr>
      <w:r>
        <w:rPr>
          <w:rFonts w:ascii="Times New Roman" w:hAnsi="Times New Roman"/>
          <w:b/>
          <w:sz w:val="28"/>
        </w:rPr>
        <w:t>Performance-Computational Cost Trade-off Analysis of Grayscale and Markov Representations for CNN-Based Malware Family Classification</w:t>
      </w:r>
    </w:p>
    <w:p>
      <w:pPr>
        <w:spacing w:line="240" w:lineRule="auto"/>
        <w:ind w:firstLine="0"/>
        <w:jc w:val="center"/>
      </w:pPr>
      <w:r>
        <w:rPr>
          <w:rFonts w:ascii="Times New Roman" w:hAnsi="Times New Roman"/>
          <w:sz w:val="24"/>
        </w:rPr>
        <w:t>Borigas, Bryan</w:t>
      </w:r>
    </w:p>
    <w:p>
      <w:pPr>
        <w:spacing w:line="240" w:lineRule="auto"/>
        <w:ind w:firstLine="0"/>
        <w:jc w:val="center"/>
      </w:pPr>
      <w:r>
        <w:rPr>
          <w:rFonts w:ascii="Times New Roman" w:hAnsi="Times New Roman"/>
          <w:sz w:val="24"/>
        </w:rPr>
        <w:t>Real, Daniel Mark</w:t>
      </w:r>
    </w:p>
    <w:p>
      <w:pPr>
        <w:spacing w:line="240" w:lineRule="auto"/>
        <w:ind w:firstLine="0"/>
        <w:jc w:val="center"/>
      </w:pPr>
      <w:r>
        <w:rPr>
          <w:rFonts w:ascii="Times New Roman" w:hAnsi="Times New Roman"/>
          <w:sz w:val="24"/>
        </w:rPr>
        <w:t>Babila, Angeline</w:t>
      </w:r>
    </w:p>
    <w:p/>
    <w:p>
      <w:pPr>
        <w:pStyle w:val="Heading1"/>
      </w:pPr>
      <w:r>
        <w:t>I. Proposed Title</w:t>
      </w:r>
    </w:p>
    <w:p>
      <w:pPr>
        <w:spacing w:line="360" w:lineRule="auto"/>
        <w:ind w:firstLine="0"/>
        <w:jc w:val="left"/>
      </w:pPr>
      <w:r>
        <w:rPr>
          <w:b/>
          <w:i w:val="0"/>
        </w:rPr>
        <w:t>Performance-Computational Cost Trade-off Analysis of Grayscale and Markov Representations for CNN-Based Malware Family Classification</w:t>
      </w:r>
    </w:p>
    <w:p>
      <w:pPr>
        <w:pStyle w:val="Heading2"/>
      </w:pPr>
      <w:r>
        <w:t>Identify the Following</w:t>
      </w:r>
    </w:p>
    <w:tbl>
      <w:tblPr>
        <w:tblStyle w:val="TableGrid"/>
        <w:tblW w:type="auto" w:w="0"/>
        <w:jc w:val="center"/>
        <w:tblLayout w:type="fixed"/>
        <w:tblLook w:firstColumn="1" w:firstRow="1" w:lastColumn="0" w:lastRow="0" w:noHBand="0" w:noVBand="1" w:val="04A0"/>
      </w:tblPr>
      <w:tblGrid>
        <w:gridCol w:w="2376"/>
        <w:gridCol w:w="8136"/>
      </w:tblGrid>
      <w:tr>
        <w:tc>
          <w:tcPr>
            <w:tcW w:type="dxa" w:w="4680"/>
            <w:vAlign w:val="center"/>
            <w:shd w:fill="D9EAF7"/>
          </w:tcPr>
          <w:p>
            <w:pPr>
              <w:spacing w:line="240" w:lineRule="auto"/>
              <w:ind w:firstLine="0"/>
            </w:pPr>
            <w:r/>
            <w:r>
              <w:rPr>
                <w:rFonts w:ascii="Times New Roman" w:hAnsi="Times New Roman"/>
                <w:b/>
                <w:sz w:val="21"/>
              </w:rPr>
              <w:t>Criterion</w:t>
            </w:r>
          </w:p>
        </w:tc>
        <w:tc>
          <w:tcPr>
            <w:tcW w:type="dxa" w:w="4680"/>
            <w:vAlign w:val="center"/>
            <w:shd w:fill="D9EAF7"/>
          </w:tcPr>
          <w:p>
            <w:pPr>
              <w:spacing w:line="240" w:lineRule="auto"/>
              <w:ind w:firstLine="0"/>
            </w:pPr>
            <w:r/>
            <w:r>
              <w:rPr>
                <w:rFonts w:ascii="Times New Roman" w:hAnsi="Times New Roman"/>
                <w:b/>
                <w:sz w:val="21"/>
              </w:rPr>
              <w:t>Description</w:t>
            </w:r>
          </w:p>
        </w:tc>
      </w:tr>
      <w:tr>
        <w:tc>
          <w:tcPr>
            <w:tcW w:type="dxa" w:w="2376"/>
            <w:vAlign w:val="center"/>
          </w:tcPr>
          <w:p>
            <w:pPr>
              <w:spacing w:line="240" w:lineRule="auto"/>
              <w:ind w:firstLine="0"/>
            </w:pPr>
            <w:r/>
            <w:r>
              <w:rPr>
                <w:rFonts w:ascii="Times New Roman" w:hAnsi="Times New Roman"/>
                <w:b/>
                <w:sz w:val="21"/>
              </w:rPr>
              <w:t>CS Domain</w:t>
            </w:r>
          </w:p>
        </w:tc>
        <w:tc>
          <w:tcPr>
            <w:tcW w:type="dxa" w:w="8136"/>
            <w:vAlign w:val="center"/>
          </w:tcPr>
          <w:p>
            <w:pPr>
              <w:spacing w:line="240" w:lineRule="auto"/>
              <w:ind w:firstLine="0"/>
            </w:pPr>
            <w:r/>
            <w:r>
              <w:rPr>
                <w:rFonts w:ascii="Times New Roman" w:hAnsi="Times New Roman"/>
                <w:b w:val="0"/>
                <w:sz w:val="21"/>
              </w:rPr>
              <w:t>Cybersecurity and Digital Forensics; Machine Learning and Deep Learning; Computer Vision and Pattern Recognition</w:t>
            </w:r>
          </w:p>
        </w:tc>
      </w:tr>
      <w:tr>
        <w:tc>
          <w:tcPr>
            <w:tcW w:type="dxa" w:w="2376"/>
            <w:vAlign w:val="center"/>
          </w:tcPr>
          <w:p>
            <w:pPr>
              <w:spacing w:line="240" w:lineRule="auto"/>
              <w:ind w:firstLine="0"/>
            </w:pPr>
            <w:r/>
            <w:r>
              <w:rPr>
                <w:rFonts w:ascii="Times New Roman" w:hAnsi="Times New Roman"/>
                <w:b/>
                <w:sz w:val="21"/>
              </w:rPr>
              <w:t>Computing Contribution</w:t>
            </w:r>
          </w:p>
        </w:tc>
        <w:tc>
          <w:tcPr>
            <w:tcW w:type="dxa" w:w="8136"/>
            <w:vAlign w:val="center"/>
          </w:tcPr>
          <w:p>
            <w:pPr>
              <w:spacing w:line="240" w:lineRule="auto"/>
              <w:ind w:firstLine="0"/>
            </w:pPr>
            <w:r/>
            <w:r>
              <w:rPr>
                <w:rFonts w:ascii="Times New Roman" w:hAnsi="Times New Roman"/>
                <w:b w:val="0"/>
                <w:sz w:val="21"/>
              </w:rPr>
              <w:t>A controlled same-hardware representation-level evaluation framework that compares malware-family classification performance and computational cost using a fixed CNN.</w:t>
            </w:r>
          </w:p>
        </w:tc>
      </w:tr>
      <w:tr>
        <w:tc>
          <w:tcPr>
            <w:tcW w:type="dxa" w:w="2376"/>
            <w:vAlign w:val="center"/>
          </w:tcPr>
          <w:p>
            <w:pPr>
              <w:spacing w:line="240" w:lineRule="auto"/>
              <w:ind w:firstLine="0"/>
            </w:pPr>
            <w:r/>
            <w:r>
              <w:rPr>
                <w:rFonts w:ascii="Times New Roman" w:hAnsi="Times New Roman"/>
                <w:b/>
                <w:sz w:val="21"/>
              </w:rPr>
              <w:t>BU Agenda</w:t>
            </w:r>
          </w:p>
        </w:tc>
        <w:tc>
          <w:tcPr>
            <w:tcW w:type="dxa" w:w="8136"/>
            <w:vAlign w:val="center"/>
          </w:tcPr>
          <w:p>
            <w:pPr>
              <w:spacing w:line="240" w:lineRule="auto"/>
              <w:ind w:firstLine="0"/>
            </w:pPr>
            <w:r/>
            <w:r>
              <w:rPr>
                <w:rFonts w:ascii="Times New Roman" w:hAnsi="Times New Roman"/>
                <w:b w:val="0"/>
                <w:sz w:val="21"/>
              </w:rPr>
              <w:t>Global Competitiveness of Business and Industry</w:t>
            </w:r>
          </w:p>
        </w:tc>
      </w:tr>
      <w:tr>
        <w:tc>
          <w:tcPr>
            <w:tcW w:type="dxa" w:w="2376"/>
            <w:vAlign w:val="center"/>
          </w:tcPr>
          <w:p>
            <w:pPr>
              <w:spacing w:line="240" w:lineRule="auto"/>
              <w:ind w:firstLine="0"/>
            </w:pPr>
            <w:r/>
            <w:r>
              <w:rPr>
                <w:rFonts w:ascii="Times New Roman" w:hAnsi="Times New Roman"/>
                <w:b/>
                <w:sz w:val="21"/>
              </w:rPr>
              <w:t>SDG</w:t>
            </w:r>
          </w:p>
        </w:tc>
        <w:tc>
          <w:tcPr>
            <w:tcW w:type="dxa" w:w="8136"/>
            <w:vAlign w:val="center"/>
          </w:tcPr>
          <w:p>
            <w:pPr>
              <w:spacing w:line="240" w:lineRule="auto"/>
              <w:ind w:firstLine="0"/>
            </w:pPr>
            <w:r/>
            <w:r>
              <w:rPr>
                <w:rFonts w:ascii="Times New Roman" w:hAnsi="Times New Roman"/>
                <w:b w:val="0"/>
                <w:sz w:val="21"/>
              </w:rPr>
              <w:t>SDG 9: Industry, Innovation and Infrastructure; secondary alignment with SDG 16: Peace, Justice and Strong Institutions</w:t>
            </w:r>
          </w:p>
        </w:tc>
      </w:tr>
      <w:tr>
        <w:tc>
          <w:tcPr>
            <w:tcW w:type="dxa" w:w="2376"/>
            <w:vAlign w:val="center"/>
          </w:tcPr>
          <w:p>
            <w:pPr>
              <w:spacing w:line="240" w:lineRule="auto"/>
              <w:ind w:firstLine="0"/>
            </w:pPr>
            <w:r/>
            <w:r>
              <w:rPr>
                <w:rFonts w:ascii="Times New Roman" w:hAnsi="Times New Roman"/>
                <w:b/>
                <w:sz w:val="21"/>
              </w:rPr>
              <w:t>Beneficiary</w:t>
            </w:r>
          </w:p>
        </w:tc>
        <w:tc>
          <w:tcPr>
            <w:tcW w:type="dxa" w:w="8136"/>
            <w:vAlign w:val="center"/>
          </w:tcPr>
          <w:p>
            <w:pPr>
              <w:spacing w:line="240" w:lineRule="auto"/>
              <w:ind w:firstLine="0"/>
            </w:pPr>
            <w:r/>
            <w:r>
              <w:rPr>
                <w:rFonts w:ascii="Times New Roman" w:hAnsi="Times New Roman"/>
                <w:b w:val="0"/>
                <w:sz w:val="21"/>
              </w:rPr>
              <w:t>Computer Science and cybersecurity researchers, students, instructors, malware-analysis laboratories, and organizations evaluating static malware-classification methods under limited computing resources</w:t>
            </w:r>
          </w:p>
        </w:tc>
      </w:tr>
      <w:tr>
        <w:tc>
          <w:tcPr>
            <w:tcW w:type="dxa" w:w="2376"/>
            <w:vAlign w:val="center"/>
          </w:tcPr>
          <w:p>
            <w:pPr>
              <w:spacing w:line="240" w:lineRule="auto"/>
              <w:ind w:firstLine="0"/>
            </w:pPr>
            <w:r/>
            <w:r>
              <w:rPr>
                <w:rFonts w:ascii="Times New Roman" w:hAnsi="Times New Roman"/>
                <w:b/>
                <w:sz w:val="21"/>
              </w:rPr>
              <w:t>Expected Innovation</w:t>
            </w:r>
          </w:p>
        </w:tc>
        <w:tc>
          <w:tcPr>
            <w:tcW w:type="dxa" w:w="8136"/>
            <w:vAlign w:val="center"/>
          </w:tcPr>
          <w:p>
            <w:pPr>
              <w:spacing w:line="240" w:lineRule="auto"/>
              <w:ind w:firstLine="0"/>
            </w:pPr>
            <w:r/>
            <w:r>
              <w:rPr>
                <w:rFonts w:ascii="Times New Roman" w:hAnsi="Times New Roman"/>
                <w:b w:val="0"/>
                <w:sz w:val="21"/>
              </w:rPr>
              <w:t>A reproducible benchmark for determining whether the classification benefit of a first-order Markov byte-transition representation justifies its additional generation cost over a simpler Grayscale byteplot under identical experimental conditions</w:t>
            </w:r>
          </w:p>
        </w:tc>
      </w:tr>
    </w:tbl>
    <w:p>
      <w:pPr>
        <w:pStyle w:val="Heading1"/>
      </w:pPr>
      <w:r>
        <w:t>Background</w:t>
      </w:r>
    </w:p>
    <w:p>
      <w:pPr>
        <w:spacing w:line="360" w:lineRule="auto"/>
        <w:ind w:firstLine="720"/>
        <w:jc w:val="both"/>
      </w:pPr>
      <w:r>
        <w:t>Malware family classification is an important task in cybersecurity because it supports the grouping, analysis, and prioritization of malicious software variants that exhibit related structures or behaviors. Traditional signature-based approaches are effective against known malware, but they may become less reliable when malicious programs are modified, packed, encrypted, or obfuscated. Static feature engineering may also require specialized domain knowledge, while dynamic analysis requires malware execution in a controlled environment and may be time-consuming and computationally intensive (Pinhero et al., 2021). These limitations have encouraged researchers to investigate alternative representations that enable automated classification without executing the malware sample.</w:t>
      </w:r>
    </w:p>
    <w:p>
      <w:pPr>
        <w:spacing w:line="360" w:lineRule="auto"/>
        <w:ind w:firstLine="720"/>
        <w:jc w:val="both"/>
      </w:pPr>
      <w:r>
        <w:t>Malware visualization is one such static-analysis approach. In a Grayscale byteplot, ordered byte values are mapped directly to pixel intensities, allowing structural and textural patterns in the file to be processed by image-analysis methods. Nataraj and Manjunath (2016) explained that malware binaries can be represented as images or signals and that variants from the same family may exhibit visual similarities. Convolutional Neural Networks (CNNs) have subsequently been applied to malware images because they can learn discriminative spatial patterns without relying entirely on manually engineered features. Bensaoud et al. (2020), for example, demonstrated that CNN architectures can perform static malware-family classification using malware images.</w:t>
      </w:r>
    </w:p>
    <w:p>
      <w:pPr>
        <w:spacing w:line="360" w:lineRule="auto"/>
        <w:ind w:firstLine="720"/>
        <w:jc w:val="both"/>
      </w:pPr>
      <w:r>
        <w:t>A Markov byte-transition image represents malware differently. Instead of directly placing bytes as pixels, it models the statistical relationship between adjacent byte values through a transition matrix. This representation can capture sequential transition behavior that may not be explicitly preserved in a resized Grayscale byteplot. However, the Markov approach requires additional computation for transition counting, normalization, and matrix-to-image conversion. Consequently, selecting a representation involves not only predictive performance but also the computational effort required to generate and use that representation.</w:t>
      </w:r>
    </w:p>
    <w:p>
      <w:pPr>
        <w:spacing w:line="360" w:lineRule="auto"/>
        <w:ind w:firstLine="720"/>
        <w:jc w:val="both"/>
      </w:pPr>
      <w:r>
        <w:t>Prior research has already established that Grayscale, RGB, Markov, entropy-related, and filtered malware images can be used in deep-learning classification. Pinhero et al. (2021) evaluated multiple malware image types, image dimensions, and neural-network architectures, including Grayscale and Markov images. Their work demonstrates that a simple accuracy-focused comparison of these representations would not constitute a sufficient contribution by itself. Other research has addressed resource-constrained malware analysis from a model-design perspective. MALITE, for instance, was developed as a lightweight malware detection and classification system using Grayscale or RGB images together with low-resource classification methods (Anand et al., 2023).</w:t>
      </w:r>
    </w:p>
    <w:p>
      <w:pPr>
        <w:spacing w:line="360" w:lineRule="auto"/>
        <w:ind w:firstLine="720"/>
        <w:jc w:val="both"/>
      </w:pPr>
      <w:r>
        <w:t>Although these studies establish the feasibility of image-based malware classification, the practical cost of selecting a Markov representation over a simpler Grayscale byteplot remains insufficiently isolated. Existing studies commonly compare several representations together with different image sizes or neural-network architectures, emphasize predictive performance, or examine model-level efficiency rather than the transformation cost introduced by the representation itself. Therefore, a controlled evaluation is needed in which the same malware samples, image dimensions, CNN architecture, training procedure, software environment, and hardware are held constant while the representation is changed.</w:t>
      </w:r>
    </w:p>
    <w:p>
      <w:pPr>
        <w:spacing w:line="360" w:lineRule="auto"/>
        <w:ind w:firstLine="720"/>
        <w:jc w:val="both"/>
      </w:pPr>
      <w:r>
        <w:t>The proposed study will address this gap by comparing Grayscale byteplots and first-order Markov byte-transition images generated from the labeled training .bytes files of the Microsoft Malware Classification Challenge 2015 dataset. The challenge released a large benchmark collection containing bytecode and disassembly data from more than 20,000 malware samples and has been widely used in malware-classification research (Ronen et al., 2018). The present study will use only the valid labeled training .bytes samples and their family labels; it will not execute malware or reconstruct runnable binaries.</w:t>
      </w:r>
    </w:p>
    <w:p>
      <w:pPr>
        <w:spacing w:line="360" w:lineRule="auto"/>
        <w:ind w:firstLine="720"/>
        <w:jc w:val="both"/>
      </w:pPr>
      <w:r>
        <w:t>The study aligns with the Bicol University Research and Development Agenda category on Global Competitiveness of Business and Industry because it supports technological innovation, digital resilience, and resource-aware computing. It also supports SDG 9 by contributing to research and innovation for more resilient digital infrastructure. A secondary alignment exists with SDG 16 because improved malware-analysis methods may support stronger information security practices and institutional protection. The primary contribution, however, remains within Computer Science through the controlled evaluation of computational representations, deep-learning classification, and resource measurement.</w:t>
      </w:r>
    </w:p>
    <w:p>
      <w:pPr>
        <w:spacing w:line="360" w:lineRule="auto"/>
        <w:ind w:firstLine="720"/>
        <w:jc w:val="both"/>
      </w:pPr>
      <w:r>
        <w:t>Through this controlled design, the study seeks to determine whether any improvement in malware-family classification produced by the Markov representation is sufficient to justify its additional representation-generation cost compared with Grayscale. The expected output is not a new antivirus or a new malware representation, but a reproducible experimental framework and evidence-based basis for selecting between two established byte-to-image representations under limited computing resources.</w:t>
      </w:r>
    </w:p>
    <w:p>
      <w:pPr>
        <w:pStyle w:val="Heading1"/>
      </w:pPr>
      <w:r>
        <w:t>Introduction of the Proposed System</w:t>
      </w:r>
    </w:p>
    <w:p>
      <w:pPr>
        <w:spacing w:line="360" w:lineRule="auto"/>
        <w:ind w:firstLine="720"/>
        <w:jc w:val="both"/>
      </w:pPr>
      <w:r>
        <w:t>The proposed system will be a research experimentation and comparison tool for generating, classifying, monitoring, and evaluating Grayscale and Markov malware image representations. Its central computing contribution is the integration of a controlled representation pipeline with a fixed CNN classifier and a resource-monitoring framework. By keeping the dataset split, input dimensions, network architecture, training parameters, software environment, and hardware constant, the system will isolate the effect of the malware image representation.</w:t>
      </w:r>
    </w:p>
    <w:p>
      <w:pPr>
        <w:spacing w:line="360" w:lineRule="auto"/>
        <w:ind w:firstLine="720"/>
        <w:jc w:val="both"/>
      </w:pPr>
      <w:r>
        <w:t>The first component will be a common .bytes parser. It will read the Microsoft BIG 2015 training files line by line, ignore address-offset fields, accept valid two-character hexadecimal byte tokens, and treat unknown tokens such as '??' as missing information rather than converting them to the valid byte value 00. The parser will preserve the order of valid bytes and will also identify contiguous valid-byte segments so that the Markov generator does not create artificial transitions across unknown regions.</w:t>
      </w:r>
    </w:p>
    <w:p>
      <w:pPr>
        <w:spacing w:line="360" w:lineRule="auto"/>
        <w:ind w:firstLine="720"/>
        <w:jc w:val="both"/>
      </w:pPr>
      <w:r>
        <w:t>For the Grayscale representation, valid ordered bytes will be mapped directly to intensity values from 0 to 255. The byte sequence will be arranged using a file-size-dependent source width, padded only at the end when necessary, reshaped into a two-dimensional byteplot, and resized to 256 by 256 pixels. For the Markov representation, adjacent byte transitions within each contiguous valid segment will be counted in a 256 by 256 matrix. Each nonempty row will be normalized to obtain a first-order transition-probability distribution, which will then be linearly mapped to pixel intensities. Both outputs will be one-channel, 256 by 256, lossless PNG images, allowing the exact same CNN architecture to process both representations.</w:t>
      </w:r>
    </w:p>
    <w:p>
      <w:pPr>
        <w:spacing w:line="360" w:lineRule="auto"/>
        <w:ind w:firstLine="720"/>
        <w:jc w:val="both"/>
      </w:pPr>
      <w:r>
        <w:t>The fixed CNN will contain three convolutional blocks with 32, 64, and 128 filters, respectively. Each block will use a 3 by 3 convolution, batch normalization, ReLU activation, and 2 by 2 max pooling. Global average pooling, a dropout layer, and a nine-class output layer will complete the architecture. A single lightweight custom CNN is selected because the research variable is the image representation rather than the classifier architecture. This also reduces memory requirements and avoids introducing transfer-learning or architecture differences that could confound the comparison.</w:t>
      </w:r>
    </w:p>
    <w:p>
      <w:pPr>
        <w:spacing w:line="360" w:lineRule="auto"/>
        <w:ind w:firstLine="720"/>
        <w:jc w:val="both"/>
      </w:pPr>
      <w:r>
        <w:t>The dataset will be divided through a stratified 70-percent training, 15-percent validation, and 15-percent test split. Identical sample identifiers will be used for the Grayscale and Markov datasets. The model will be trained using weighted cross-entropy to address class imbalance, the Adam optimizer with an initial learning rate of 0.001, a proposed batch size of 16, and a maximum of 50 epochs. Early stopping will be based on validation Macro-F1 with a patience of seven epochs. Three fixed random seeds will be used, resulting in six main training runs. Minor hardware-dependent settings such as batch size and data-loading workers may be adjusted during preliminary feasibility testing, provided that the final configuration is documented and applied identically to both representations.</w:t>
      </w:r>
    </w:p>
    <w:p>
      <w:pPr>
        <w:spacing w:line="360" w:lineRule="auto"/>
        <w:ind w:firstLine="720"/>
        <w:jc w:val="both"/>
      </w:pPr>
      <w:r>
        <w:t>The system will record common parsing time, representation-specific transformation time, image-writing time, end-to-end generation time, peak memory use during generation, and generated-image storage. During model evaluation, it will record Macro-F1, Balanced Accuracy, Macro Precision, Macro Recall, per-family Recall, confusion matrices, training time, epochs before early stopping, inference latency, throughput, peak RAM, and peak GPU memory. Because both representations have identical final dimensions and use the same CNN, the most direct expected computational distinction is the representation-generation stage; training and inference measurements will be included as secondary verification metrics rather than assumed differences.</w:t>
      </w:r>
    </w:p>
    <w:p>
      <w:pPr>
        <w:spacing w:line="360" w:lineRule="auto"/>
        <w:ind w:firstLine="720"/>
        <w:jc w:val="both"/>
      </w:pPr>
      <w:r>
        <w:t>The proposed system will include modules for dataset and label loading, byte parsing, Grayscale generation, Markov generation, split management, CNN training and validation, malware-family classification, resource monitoring, result visualization, and report export. It will allow researchers to inspect classification performance and computational cost side by side. Trade-offs will be interpreted through direct comparisons, relative overhead, and Pareto analysis instead of relying solely on an arbitrary weighted score.</w:t>
      </w:r>
    </w:p>
    <w:p>
      <w:pPr>
        <w:spacing w:line="360" w:lineRule="auto"/>
        <w:ind w:firstLine="720"/>
        <w:jc w:val="both"/>
      </w:pPr>
      <w:r>
        <w:t>The study builds upon established malware-visualization and CNN-classification research but differs by narrowing the experiment to a focused question: whether the additional representation-generation overhead of Markov encoding is justified by its classification benefit over Grayscale. The prototype will therefore serve as a platform for implementing and validating a controlled computational evaluation rather than as a production antivirus application.</w:t>
      </w:r>
    </w:p>
    <w:p>
      <w:pPr>
        <w:pStyle w:val="Heading1"/>
      </w:pPr>
      <w:r>
        <w:t>General Objective</w:t>
      </w:r>
    </w:p>
    <w:p>
      <w:pPr>
        <w:spacing w:line="360" w:lineRule="auto"/>
        <w:ind w:firstLine="720"/>
        <w:jc w:val="both"/>
      </w:pPr>
      <w:r>
        <w:t>The general objective of this study is to develop and evaluate a controlled computational framework for determining whether the potential malware-family classification benefit of a Markov byte-transition representation justifies its additional representation-generation cost compared with a Grayscale byteplot under identical dataset, model, software, and hardware conditions.</w:t>
      </w:r>
    </w:p>
    <w:p>
      <w:pPr>
        <w:pStyle w:val="Heading1"/>
      </w:pPr>
      <w:r>
        <w:t>Specific Objectives</w:t>
      </w:r>
    </w:p>
    <w:p>
      <w:pPr>
        <w:pStyle w:val="ListNumber"/>
        <w:spacing w:line="360" w:lineRule="auto"/>
        <w:ind w:left="504" w:hanging="288"/>
        <w:jc w:val="both"/>
      </w:pPr>
      <w:r>
        <w:t>To acquire and preprocess all valid labeled training .bytes samples from the Microsoft Malware Classification Challenge 2015 dataset and generate corresponding Grayscale and first-order Markov byte-transition representations using reproducible conversion procedures;</w:t>
      </w:r>
    </w:p>
    <w:p>
      <w:pPr>
        <w:pStyle w:val="ListNumber"/>
        <w:spacing w:line="360" w:lineRule="auto"/>
        <w:ind w:left="504" w:hanging="288"/>
        <w:jc w:val="both"/>
      </w:pPr>
      <w:r>
        <w:t>To implement a fixed CNN-based malware-family classification model using identical dataset splits, input dimensions, training parameters, software environment, and hardware conditions for the Grayscale and Markov representations;</w:t>
      </w:r>
    </w:p>
    <w:p>
      <w:pPr>
        <w:pStyle w:val="ListNumber"/>
        <w:spacing w:line="360" w:lineRule="auto"/>
        <w:ind w:left="504" w:hanging="288"/>
        <w:jc w:val="both"/>
      </w:pPr>
      <w:r>
        <w:t>To design and develop a research prototype that integrates malware byte parsing, Grayscale and Markov representation generation, CNN model training, malware-family classification, computational-resource monitoring, and comparative result visualization; and</w:t>
      </w:r>
    </w:p>
    <w:p>
      <w:pPr>
        <w:pStyle w:val="ListNumber"/>
        <w:spacing w:line="360" w:lineRule="auto"/>
        <w:ind w:left="504" w:hanging="288"/>
        <w:jc w:val="both"/>
      </w:pPr>
      <w:r>
        <w:t>To evaluate and compare the representations using Macro-F1, Balanced Accuracy, Macro Precision, Macro Recall, per-family Recall, representation-generation time, generated-image storage, peak generation memory, training time, inference latency, throughput, and model resource usage, and to determine whether the classification benefit of Markov encoding justifies its additional transformation cost.</w:t>
      </w:r>
    </w:p>
    <w:p>
      <w:pPr>
        <w:pStyle w:val="Heading1"/>
      </w:pPr>
      <w:r>
        <w:t>Scope and Limitations</w:t>
      </w:r>
    </w:p>
    <w:p>
      <w:pPr>
        <w:spacing w:line="360" w:lineRule="auto"/>
        <w:ind w:firstLine="720"/>
        <w:jc w:val="both"/>
      </w:pPr>
      <w:r>
        <w:t>This study will focus on static malware-family classification using the labeled training portion of the Microsoft Malware Classification Challenge 2015 dataset. All valid labeled .bytes samples and all nine malware families will be included by default. The corresponding labels will be obtained from trainLabels.csv. Disassembly .asm files and unlabeled competition test samples will not be used because both selected representations will be derived exclusively from ordered byte sequences. A stratified subset will only be considered if a preliminary conversion and feasibility pilot demonstrates that full labeled-data processing is infeasible after reasonable code and storage optimization.</w:t>
      </w:r>
    </w:p>
    <w:p>
      <w:pPr>
        <w:spacing w:line="360" w:lineRule="auto"/>
        <w:ind w:firstLine="720"/>
        <w:jc w:val="both"/>
      </w:pPr>
      <w:r>
        <w:t>The study will compare only two representations: a Grayscale byteplot and a first-order Markov byte-transition image. Unknown byte tokens will be treated as missing information and will not be replaced with the valid value 00. The Grayscale representation will preserve the order of valid bytes, apply a file-size-dependent source width, use end padding when required, and be resized to 256 by 256 pixels. The Markov representation will count adjacent transitions only within contiguous valid-byte segments, use row-normalized transition probabilities, and retain its native 256 by 256 matrix. No Gabor filtering, entropy channel, RGB encoding, contrast enhancement, or other image enhancement will be included.</w:t>
      </w:r>
    </w:p>
    <w:p>
      <w:pPr>
        <w:spacing w:line="360" w:lineRule="auto"/>
        <w:ind w:firstLine="720"/>
        <w:jc w:val="both"/>
      </w:pPr>
      <w:r>
        <w:t>One fixed lightweight custom CNN will be used for both representations. The same architecture, data split, loss function, optimizer, learning-rate policy, stopping rule, random seeds, software environment, and hardware will be applied to both. The proposed batch size may be adjusted during preliminary feasibility testing to match available GPU memory, but the final setting will be fixed before the main experiment. The study will use three repeated runs for each representation and will not compare multiple CNN architectures or transfer-learning backbones.</w:t>
      </w:r>
    </w:p>
    <w:p>
      <w:pPr>
        <w:spacing w:line="360" w:lineRule="auto"/>
        <w:ind w:firstLine="720"/>
        <w:jc w:val="both"/>
      </w:pPr>
      <w:r>
        <w:t>Classification performance will be evaluated primarily through Macro-F1, with Balanced Accuracy, Macro Precision, Macro Recall, per-family Recall, confusion matrices, and overall Accuracy as supporting measures. Computational evaluation will include parsing, transformation, image-writing, end-to-end generation time, generated-image storage, peak memory during generation, training time, epochs before early stopping, inference latency, throughput, peak RAM, peak GPU memory, model parameter count, and checkpoint size. All final timed comparisons will be conducted on one fixed commodity computer and the complete hardware and software specifications will be documented before the experimental phase.</w:t>
      </w:r>
    </w:p>
    <w:p>
      <w:pPr>
        <w:spacing w:line="360" w:lineRule="auto"/>
        <w:ind w:firstLine="720"/>
        <w:jc w:val="both"/>
      </w:pPr>
      <w:r>
        <w:t>A preliminary conversion and feasibility pilot will be conducted before full-dataset processing to verify parsing correctness, output dimensions, Markov normalization, deterministic generation, conversion success rate, runtime, and storage requirements. The pilot is part of the proposed implementation plan and has not yet been executed at the topic-proposal stage. Any implementation correction identified during the pilot will be documented and applied consistently before the main experiment.</w:t>
      </w:r>
    </w:p>
    <w:p>
      <w:pPr>
        <w:spacing w:line="360" w:lineRule="auto"/>
        <w:ind w:firstLine="720"/>
        <w:jc w:val="both"/>
      </w:pPr>
      <w:r>
        <w:t>The developed prototype will function as a controlled research experimentation tool. It will support dataset loading, byte parsing, image generation, model training, classification, resource monitoring, comparative visualization, and report export. The prototype will be evaluated using selected ISO/IEC 25010 characteristics, particularly Functional Suitability, Performance Efficiency, Usability, and Reliability, through assessments by selected Computer Science, software-development, or cybersecurity faculty and practitioners with relevant technical experience.</w:t>
      </w:r>
    </w:p>
    <w:p>
      <w:pPr>
        <w:spacing w:line="360" w:lineRule="auto"/>
        <w:ind w:firstLine="720"/>
        <w:jc w:val="both"/>
      </w:pPr>
      <w:r>
        <w:t>The study will not execute malware, reconstruct runnable binaries, perform dynamic analysis, detect zero-day malware, conduct open-set recognition, test adversarial attacks or obfuscation robustness, perform cross-dataset validation, or deploy a production antivirus system. The findings will be limited to the selected BIG 2015 benchmark, its nine malware families, the two specified representations, one CNN architecture, and one hardware environment. Because BIG 2015 is an older benchmark, the results will not be generalized as evidence of universal performance against all contemporary malware.</w:t>
      </w:r>
    </w:p>
    <w:p>
      <w:pPr>
        <w:pStyle w:val="Heading1"/>
      </w:pPr>
      <w:r>
        <w:t>References</w:t>
      </w:r>
    </w:p>
    <w:p>
      <w:pPr>
        <w:spacing w:line="240" w:lineRule="auto" w:after="120"/>
        <w:ind w:left="720" w:hanging="720"/>
        <w:jc w:val="left"/>
      </w:pPr>
      <w:r>
        <w:t>Anand, S., Mitra, B., Dey, S., Rao, A., Dhar, R., &amp; Vaidya, J. (2023). MALITE: Lightweight malware detection and classification for constrained devices. arXiv. https://doi.org/10.48550/arXiv.2309.03294</w:t>
      </w:r>
    </w:p>
    <w:p>
      <w:pPr>
        <w:spacing w:line="240" w:lineRule="auto" w:after="120"/>
        <w:ind w:left="720" w:hanging="720"/>
        <w:jc w:val="left"/>
      </w:pPr>
      <w:r>
        <w:t>Bensaoud, A., Abudawaood, N., &amp; Kalita, J. (2020). Classifying malware images with convolutional neural network models. arXiv. https://doi.org/10.48550/arXiv.2010.16108</w:t>
      </w:r>
    </w:p>
    <w:p>
      <w:pPr>
        <w:spacing w:line="240" w:lineRule="auto" w:after="120"/>
        <w:ind w:left="720" w:hanging="720"/>
        <w:jc w:val="left"/>
      </w:pPr>
      <w:r>
        <w:t>Nataraj, L., &amp; Manjunath, B. S. (2016). SPAM: Signal processing for analyzing malware. arXiv. https://doi.org/10.48550/arXiv.1605.05280</w:t>
      </w:r>
    </w:p>
    <w:p>
      <w:pPr>
        <w:spacing w:line="240" w:lineRule="auto" w:after="120"/>
        <w:ind w:left="720" w:hanging="720"/>
        <w:jc w:val="left"/>
      </w:pPr>
      <w:r>
        <w:t>Pinhero, A., Anupama, M. L., Vinod, P., Visaggio, C. A., Aneesh, N., Abhijith, S., &amp; AnanthaKrishnan, S. (2021). Malware detection employed by visualization and deep neural network. Computers &amp; Security, 105, 102247. https://doi.org/10.1016/j.cose.2021.102247</w:t>
      </w:r>
    </w:p>
    <w:p>
      <w:pPr>
        <w:spacing w:line="240" w:lineRule="auto" w:after="120"/>
        <w:ind w:left="720" w:hanging="720"/>
        <w:jc w:val="left"/>
      </w:pPr>
      <w:r>
        <w:t>Ronen, R., Radu, M., Feuerstein, C., Yom-Tov, E., &amp; Ahmadi, M. (2018). Microsoft malware classification challenge. arXiv. https://doi.org/10.48550/arXiv.1802.10135</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ind w:firstLine="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