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pStyle w:val="Title"/>
        <w:jc w:val="left"/>
      </w:pPr>
      <w:r>
        <w:t>Chapter 2 Research Handoff</w:t>
      </w:r>
    </w:p>
    <w:p>
      <w:pPr>
        <w:spacing w:after="160"/>
      </w:pPr>
      <w:r>
        <w:rPr>
          <w:rFonts w:ascii="Aptos" w:hAnsi="Aptos"/>
          <w:b/>
          <w:color w:val="2F75B5"/>
          <w:sz w:val="30"/>
        </w:rPr>
        <w:t>Machine Learning Classification of AI-Generated and Real Text-Containing Images Using Visual Text-Region Features</w:t>
      </w:r>
    </w:p>
    <w:p>
      <w:r>
        <w:rPr>
          <w:rFonts w:ascii="Aptos" w:hAnsi="Aptos"/>
          <w:i/>
          <w:color w:val="5B6573"/>
          <w:sz w:val="21"/>
        </w:rPr>
        <w:t>Project continuity document for transferring the study to another AI or research session</w:t>
      </w:r>
    </w:p>
    <w:p>
      <w:pPr>
        <w:spacing w:after="480"/>
      </w:pPr>
    </w:p>
    <w:tbl>
      <w:tblPr>
        <w:tblW w:type="auto" w:w="0"/>
        <w:jc w:val="left"/>
        <w:tblLayout w:type="fixed"/>
        <w:tblLook w:firstColumn="1" w:firstRow="1" w:lastColumn="0" w:lastRow="0" w:noHBand="0" w:noVBand="1" w:val="04A0"/>
      </w:tblPr>
      <w:tblGrid>
        <w:gridCol w:w="4917"/>
        <w:gridCol w:w="4917"/>
      </w:tblGrid>
      <w:tr>
        <w:tc>
          <w:tcPr>
            <w:tcW w:type="dxa" w:w="1944"/>
            <w:shd w:fill="D9EAF7"/>
            <w:tcMar>
              <w:top w:w="80" w:type="dxa"/>
              <w:start w:w="95" w:type="dxa"/>
              <w:bottom w:w="80" w:type="dxa"/>
              <w:end w:w="95" w:type="dxa"/>
            </w:tcMar>
          </w:tcPr>
          <w:p>
            <w:r>
              <w:rPr>
                <w:rFonts w:ascii="Aptos" w:hAnsi="Aptos"/>
                <w:b/>
                <w:color w:val="17365D"/>
                <w:sz w:val="17"/>
              </w:rPr>
              <w:t>Student</w:t>
            </w:r>
          </w:p>
        </w:tc>
        <w:tc>
          <w:tcPr>
            <w:tcW w:type="dxa" w:w="7560"/>
            <w:tcMar>
              <w:top w:w="80" w:type="dxa"/>
              <w:start w:w="95" w:type="dxa"/>
              <w:bottom w:w="80" w:type="dxa"/>
              <w:end w:w="95" w:type="dxa"/>
            </w:tcMar>
          </w:tcPr>
          <w:p>
            <w:r>
              <w:rPr>
                <w:rFonts w:ascii="Aptos" w:hAnsi="Aptos"/>
                <w:color w:val="1F2933"/>
                <w:sz w:val="18"/>
              </w:rPr>
              <w:t>User name not provided</w:t>
            </w:r>
          </w:p>
        </w:tc>
      </w:tr>
      <w:tr>
        <w:tc>
          <w:tcPr>
            <w:tcW w:type="dxa" w:w="1944"/>
            <w:shd w:fill="D9EAF7"/>
            <w:tcMar>
              <w:top w:w="80" w:type="dxa"/>
              <w:start w:w="95" w:type="dxa"/>
              <w:bottom w:w="80" w:type="dxa"/>
              <w:end w:w="95" w:type="dxa"/>
            </w:tcMar>
          </w:tcPr>
          <w:p>
            <w:r>
              <w:rPr>
                <w:rFonts w:ascii="Aptos" w:hAnsi="Aptos"/>
                <w:b/>
                <w:color w:val="17365D"/>
                <w:sz w:val="17"/>
              </w:rPr>
              <w:t>Program</w:t>
            </w:r>
          </w:p>
        </w:tc>
        <w:tc>
          <w:tcPr>
            <w:tcW w:type="dxa" w:w="7560"/>
            <w:tcMar>
              <w:top w:w="80" w:type="dxa"/>
              <w:start w:w="95" w:type="dxa"/>
              <w:bottom w:w="80" w:type="dxa"/>
              <w:end w:w="95" w:type="dxa"/>
            </w:tcMar>
          </w:tcPr>
          <w:p>
            <w:r>
              <w:rPr>
                <w:rFonts w:ascii="Aptos" w:hAnsi="Aptos"/>
                <w:color w:val="1F2933"/>
                <w:sz w:val="18"/>
              </w:rPr>
              <w:t>Computer Science</w:t>
            </w:r>
          </w:p>
        </w:tc>
      </w:tr>
      <w:tr>
        <w:tc>
          <w:tcPr>
            <w:tcW w:type="dxa" w:w="1944"/>
            <w:shd w:fill="D9EAF7"/>
            <w:tcMar>
              <w:top w:w="80" w:type="dxa"/>
              <w:start w:w="95" w:type="dxa"/>
              <w:bottom w:w="80" w:type="dxa"/>
              <w:end w:w="95" w:type="dxa"/>
            </w:tcMar>
          </w:tcPr>
          <w:p>
            <w:r>
              <w:rPr>
                <w:rFonts w:ascii="Aptos" w:hAnsi="Aptos"/>
                <w:b/>
                <w:color w:val="17365D"/>
                <w:sz w:val="17"/>
              </w:rPr>
              <w:t>Current goal</w:t>
            </w:r>
          </w:p>
        </w:tc>
        <w:tc>
          <w:tcPr>
            <w:tcW w:type="dxa" w:w="7560"/>
            <w:tcMar>
              <w:top w:w="80" w:type="dxa"/>
              <w:start w:w="95" w:type="dxa"/>
              <w:bottom w:w="80" w:type="dxa"/>
              <w:end w:w="95" w:type="dxa"/>
            </w:tcMar>
          </w:tcPr>
          <w:p>
            <w:r>
              <w:rPr>
                <w:rFonts w:ascii="Aptos" w:hAnsi="Aptos"/>
                <w:color w:val="1F2933"/>
                <w:sz w:val="18"/>
              </w:rPr>
              <w:t>Complete Chapter 2</w:t>
            </w:r>
          </w:p>
        </w:tc>
      </w:tr>
      <w:tr>
        <w:tc>
          <w:tcPr>
            <w:tcW w:type="dxa" w:w="1944"/>
            <w:shd w:fill="D9EAF7"/>
            <w:tcMar>
              <w:top w:w="80" w:type="dxa"/>
              <w:start w:w="95" w:type="dxa"/>
              <w:bottom w:w="80" w:type="dxa"/>
              <w:end w:w="95" w:type="dxa"/>
            </w:tcMar>
          </w:tcPr>
          <w:p>
            <w:r>
              <w:rPr>
                <w:rFonts w:ascii="Aptos" w:hAnsi="Aptos"/>
                <w:b/>
                <w:color w:val="17365D"/>
                <w:sz w:val="17"/>
              </w:rPr>
              <w:t>Research stage</w:t>
            </w:r>
          </w:p>
        </w:tc>
        <w:tc>
          <w:tcPr>
            <w:tcW w:type="dxa" w:w="7560"/>
            <w:tcMar>
              <w:top w:w="80" w:type="dxa"/>
              <w:start w:w="95" w:type="dxa"/>
              <w:bottom w:w="80" w:type="dxa"/>
              <w:end w:w="95" w:type="dxa"/>
            </w:tcMar>
          </w:tcPr>
          <w:p>
            <w:r>
              <w:rPr>
                <w:rFonts w:ascii="Aptos" w:hAnsi="Aptos"/>
                <w:color w:val="1F2933"/>
                <w:sz w:val="18"/>
              </w:rPr>
              <w:t>Literature pool assembled; thematic drafting not yet finalized</w:t>
            </w:r>
          </w:p>
        </w:tc>
      </w:tr>
    </w:tbl>
    <w:p>
      <w:pPr>
        <w:spacing w:after="280"/>
      </w:pPr>
    </w:p>
    <w:tbl>
      <w:tblPr>
        <w:tblW w:type="auto" w:w="0"/>
        <w:jc w:val="center"/>
        <w:tblLayout w:type="fixed"/>
        <w:tblLook w:firstColumn="1" w:firstRow="1" w:lastColumn="0" w:lastRow="0" w:noHBand="0" w:noVBand="1" w:val="04A0"/>
      </w:tblPr>
      <w:tblGrid>
        <w:gridCol w:w="9835"/>
      </w:tblGrid>
      <w:tr>
        <w:tc>
          <w:tcPr>
            <w:tcW w:type="dxa" w:w="9576"/>
            <w:shd w:fill="E2F0D9"/>
            <w:tcMar>
              <w:top w:w="110" w:type="dxa"/>
              <w:start w:w="130" w:type="dxa"/>
              <w:bottom w:w="110" w:type="dxa"/>
              <w:end w:w="130" w:type="dxa"/>
            </w:tcMar>
          </w:tcPr>
          <w:p>
            <w:pPr>
              <w:spacing w:after="0"/>
            </w:pPr>
            <w:r>
              <w:rPr>
                <w:rFonts w:ascii="Aptos" w:hAnsi="Aptos"/>
                <w:b/>
                <w:color w:val="17365D"/>
                <w:sz w:val="18"/>
              </w:rPr>
              <w:t>USE THIS FILE FIRST</w:t>
              <w:br/>
            </w:r>
            <w:r>
              <w:rPr>
                <w:rFonts w:ascii="Aptos" w:hAnsi="Aptos"/>
                <w:color w:val="1F2933"/>
                <w:sz w:val="18"/>
              </w:rPr>
              <w:t>Upload this DOCX to the next AI. Ask it to read the entire handoff before searching, drafting, or changing the scope. If the original Chapter 1 and Chapter 2 guide are available, upload them as well because their exact wording was not preserved in this handoff.</w:t>
            </w:r>
          </w:p>
        </w:tc>
      </w:tr>
    </w:tbl>
    <w:p>
      <w:pPr>
        <w:spacing w:after="360"/>
      </w:pPr>
    </w:p>
    <w:p>
      <w:r>
        <w:rPr>
          <w:rFonts w:ascii="Aptos" w:hAnsi="Aptos"/>
          <w:color w:val="5B6573"/>
          <w:sz w:val="17"/>
        </w:rPr>
        <w:t>Prepared from the working conversation and source-verification notes available as of 19 September 2026.</w:t>
      </w:r>
    </w:p>
    <w:p>
      <w:r>
        <w:br w:type="page"/>
      </w:r>
    </w:p>
    <w:p>
      <w:pPr>
        <w:pStyle w:val="Heading1"/>
        <w:keepNext/>
      </w:pPr>
      <w:r>
        <w:t>1 Quick continuation instructions</w:t>
      </w:r>
    </w:p>
    <w:tbl>
      <w:tblPr>
        <w:tblW w:type="auto" w:w="0"/>
        <w:jc w:val="center"/>
        <w:tblLayout w:type="fixed"/>
        <w:tblLook w:firstColumn="1" w:firstRow="1" w:lastColumn="0" w:lastRow="0" w:noHBand="0" w:noVBand="1" w:val="04A0"/>
      </w:tblPr>
      <w:tblGrid>
        <w:gridCol w:w="9835"/>
      </w:tblGrid>
      <w:tr>
        <w:tc>
          <w:tcPr>
            <w:tcW w:type="dxa" w:w="9576"/>
            <w:shd w:fill="FFF2CC"/>
            <w:tcMar>
              <w:top w:w="110" w:type="dxa"/>
              <w:start w:w="130" w:type="dxa"/>
              <w:bottom w:w="110" w:type="dxa"/>
              <w:end w:w="130" w:type="dxa"/>
            </w:tcMar>
          </w:tcPr>
          <w:p>
            <w:pPr>
              <w:spacing w:after="0"/>
            </w:pPr>
            <w:r>
              <w:rPr>
                <w:rFonts w:ascii="Aptos" w:hAnsi="Aptos"/>
                <w:b/>
                <w:color w:val="17365D"/>
                <w:sz w:val="18"/>
              </w:rPr>
              <w:t>COPY AND PASTE INTO THE NEXT AI</w:t>
              <w:br/>
            </w:r>
            <w:r>
              <w:rPr>
                <w:rFonts w:ascii="Aptos" w:hAnsi="Aptos"/>
                <w:color w:val="1F2933"/>
                <w:sz w:val="18"/>
              </w:rPr>
              <w:t>I am continuing a Computer Science thesis project. Read the attached Chapter 2 Research Handoff completely before responding. Preserve the locked scope, especially the rule that OCR may only localize text regions and that recognized text or semantic content must not be used as a classification feature. Continue from the recorded status instead of restarting the literature search. First, verify the remaining APA 7 metadata and publication status using primary or official sources. Then create the source-to-section matrix and draft Chapter 2 as an integrated thematic review, not a paper-by-paper list. Clearly label TextFake and PatchCraft as preprints unless a peer-reviewed version is verified. Use cautious research-gap language and do not claim that no prior work exists. Ask me for the original Chapter 1 and Chapter 2 guide only if they are not attached.</w:t>
            </w:r>
          </w:p>
        </w:tc>
      </w:tr>
    </w:tbl>
    <w:p>
      <w:pPr>
        <w:pStyle w:val="Heading2"/>
        <w:keepNext/>
      </w:pPr>
      <w:r>
        <w:t>What the next AI should do first</w:t>
      </w:r>
    </w:p>
    <w:p>
      <w:pPr>
        <w:spacing w:after="80"/>
        <w:ind w:left="173" w:hanging="173"/>
      </w:pPr>
      <w:r>
        <w:rPr>
          <w:rFonts w:ascii="Aptos" w:hAnsi="Aptos"/>
          <w:b/>
          <w:color w:val="17365D"/>
        </w:rPr>
        <w:t xml:space="preserve">1. Read the source documents  </w:t>
      </w:r>
      <w:r>
        <w:rPr>
          <w:rFonts w:ascii="Aptos" w:hAnsi="Aptos"/>
        </w:rPr>
        <w:t>Use the original Chapter 1 and the professor's Chapter 2 guide as controlling documents if supplied.</w:t>
      </w:r>
    </w:p>
    <w:p>
      <w:pPr>
        <w:spacing w:after="80"/>
        <w:ind w:left="173" w:hanging="173"/>
      </w:pPr>
      <w:r>
        <w:rPr>
          <w:rFonts w:ascii="Aptos" w:hAnsi="Aptos"/>
          <w:b/>
          <w:color w:val="17365D"/>
        </w:rPr>
        <w:t xml:space="preserve">2. Confirm the locked scope  </w:t>
      </w:r>
      <w:r>
        <w:rPr>
          <w:rFonts w:ascii="Aptos" w:hAnsi="Aptos"/>
        </w:rPr>
        <w:t>Do not expand the study into OCR semantics, large language models, or end-to-end deep learning unless the student explicitly changes the proposal.</w:t>
      </w:r>
    </w:p>
    <w:p>
      <w:pPr>
        <w:spacing w:after="80"/>
        <w:ind w:left="173" w:hanging="173"/>
      </w:pPr>
      <w:r>
        <w:rPr>
          <w:rFonts w:ascii="Aptos" w:hAnsi="Aptos"/>
          <w:b/>
          <w:color w:val="17365D"/>
        </w:rPr>
        <w:t xml:space="preserve">3. Verify citations  </w:t>
      </w:r>
      <w:r>
        <w:rPr>
          <w:rFonts w:ascii="Aptos" w:hAnsi="Aptos"/>
        </w:rPr>
        <w:t>Confirm author names, year, venue, volume, issue, pages, DOI, and publication status from publisher or official proceedings pages.</w:t>
      </w:r>
    </w:p>
    <w:p>
      <w:pPr>
        <w:spacing w:after="80"/>
        <w:ind w:left="173" w:hanging="173"/>
      </w:pPr>
      <w:r>
        <w:rPr>
          <w:rFonts w:ascii="Aptos" w:hAnsi="Aptos"/>
          <w:b/>
          <w:color w:val="17365D"/>
        </w:rPr>
        <w:t xml:space="preserve">4. Build the source-to-section matrix  </w:t>
      </w:r>
      <w:r>
        <w:rPr>
          <w:rFonts w:ascii="Aptos" w:hAnsi="Aptos"/>
        </w:rPr>
        <w:t>Select three to five anchor studies for each major theme and assign supporting studies where they add a distinct point.</w:t>
      </w:r>
    </w:p>
    <w:p>
      <w:pPr>
        <w:spacing w:after="80"/>
        <w:ind w:left="173" w:hanging="173"/>
      </w:pPr>
      <w:r>
        <w:rPr>
          <w:rFonts w:ascii="Aptos" w:hAnsi="Aptos"/>
          <w:b/>
          <w:color w:val="17365D"/>
        </w:rPr>
        <w:t xml:space="preserve">5. Draft thematically  </w:t>
      </w:r>
      <w:r>
        <w:rPr>
          <w:rFonts w:ascii="Aptos" w:hAnsi="Aptos"/>
        </w:rPr>
        <w:t>Compare findings, methods, limits, and implications within each section. End each major theme by stating how it supports the proposed study.</w:t>
      </w:r>
    </w:p>
    <w:p>
      <w:pPr>
        <w:pStyle w:val="Heading2"/>
        <w:keepNext/>
      </w:pPr>
      <w:r>
        <w:t>Status snapshot</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275"/>
            <w:shd w:fill="17365D"/>
            <w:tcMar>
              <w:top w:w="70" w:type="dxa"/>
              <w:start w:w="80" w:type="dxa"/>
              <w:bottom w:w="70" w:type="dxa"/>
              <w:end w:w="80" w:type="dxa"/>
            </w:tcMar>
          </w:tcPr>
          <w:p>
            <w:r>
              <w:rPr>
                <w:rFonts w:ascii="Aptos" w:hAnsi="Aptos"/>
                <w:b/>
                <w:color w:val="FFFFFF"/>
                <w:sz w:val="17"/>
              </w:rPr>
              <w:t>Work item</w:t>
            </w:r>
          </w:p>
        </w:tc>
        <w:tc>
          <w:tcPr>
            <w:tcW w:type="dxa" w:w="2477"/>
            <w:shd w:fill="17365D"/>
            <w:tcMar>
              <w:top w:w="70" w:type="dxa"/>
              <w:start w:w="80" w:type="dxa"/>
              <w:bottom w:w="70" w:type="dxa"/>
              <w:end w:w="80" w:type="dxa"/>
            </w:tcMar>
          </w:tcPr>
          <w:p>
            <w:r>
              <w:rPr>
                <w:rFonts w:ascii="Aptos" w:hAnsi="Aptos"/>
                <w:b/>
                <w:color w:val="FFFFFF"/>
                <w:sz w:val="17"/>
              </w:rPr>
              <w:t>Current state</w:t>
            </w:r>
          </w:p>
        </w:tc>
        <w:tc>
          <w:tcPr>
            <w:tcW w:type="dxa" w:w="4752"/>
            <w:shd w:fill="17365D"/>
            <w:tcMar>
              <w:top w:w="70" w:type="dxa"/>
              <w:start w:w="80" w:type="dxa"/>
              <w:bottom w:w="70" w:type="dxa"/>
              <w:end w:w="80" w:type="dxa"/>
            </w:tcMar>
          </w:tcPr>
          <w:p>
            <w:r>
              <w:rPr>
                <w:rFonts w:ascii="Aptos" w:hAnsi="Aptos"/>
                <w:b/>
                <w:color w:val="FFFFFF"/>
                <w:sz w:val="17"/>
              </w:rPr>
              <w:t>Handoff note</w:t>
            </w:r>
          </w:p>
        </w:tc>
      </w:tr>
      <w:tr>
        <w:trPr>
          <w:cantSplit/>
        </w:trPr>
        <w:tc>
          <w:tcPr>
            <w:tcW w:type="dxa" w:w="2275"/>
            <w:tcMar>
              <w:top w:w="70" w:type="dxa"/>
              <w:start w:w="80" w:type="dxa"/>
              <w:bottom w:w="70" w:type="dxa"/>
              <w:end w:w="80" w:type="dxa"/>
            </w:tcMar>
          </w:tcPr>
          <w:p>
            <w:r>
              <w:rPr>
                <w:rFonts w:ascii="Aptos" w:hAnsi="Aptos"/>
                <w:b/>
                <w:color w:val="17365D"/>
                <w:sz w:val="16"/>
              </w:rPr>
              <w:t>Proposal and Chapter 1</w:t>
            </w:r>
          </w:p>
        </w:tc>
        <w:tc>
          <w:tcPr>
            <w:tcW w:type="dxa" w:w="2477"/>
            <w:tcMar>
              <w:top w:w="70" w:type="dxa"/>
              <w:start w:w="80" w:type="dxa"/>
              <w:bottom w:w="70" w:type="dxa"/>
              <w:end w:w="80" w:type="dxa"/>
            </w:tcMar>
          </w:tcPr>
          <w:p>
            <w:r>
              <w:rPr>
                <w:rFonts w:ascii="Aptos" w:hAnsi="Aptos"/>
                <w:b w:val="0"/>
                <w:color w:val="1F2933"/>
                <w:sz w:val="16"/>
              </w:rPr>
              <w:t>Reviewed in the prior conversation</w:t>
            </w:r>
          </w:p>
        </w:tc>
        <w:tc>
          <w:tcPr>
            <w:tcW w:type="dxa" w:w="4752"/>
            <w:tcMar>
              <w:top w:w="70" w:type="dxa"/>
              <w:start w:w="80" w:type="dxa"/>
              <w:bottom w:w="70" w:type="dxa"/>
              <w:end w:w="80" w:type="dxa"/>
            </w:tcMar>
          </w:tcPr>
          <w:p>
            <w:r>
              <w:rPr>
                <w:rFonts w:ascii="Aptos" w:hAnsi="Aptos"/>
                <w:b w:val="0"/>
                <w:color w:val="1F2933"/>
                <w:sz w:val="16"/>
              </w:rPr>
              <w:t>Exact uploaded text is not embedded here; request the files if unavailable.</w:t>
            </w:r>
          </w:p>
        </w:tc>
      </w:tr>
      <w:tr>
        <w:trPr>
          <w:cantSplit/>
        </w:trPr>
        <w:tc>
          <w:tcPr>
            <w:tcW w:type="dxa" w:w="2275"/>
            <w:tcMar>
              <w:top w:w="70" w:type="dxa"/>
              <w:start w:w="80" w:type="dxa"/>
              <w:bottom w:w="70" w:type="dxa"/>
              <w:end w:w="80" w:type="dxa"/>
            </w:tcMar>
            <w:shd w:fill="F4F7FA"/>
          </w:tcPr>
          <w:p>
            <w:r>
              <w:rPr>
                <w:rFonts w:ascii="Aptos" w:hAnsi="Aptos"/>
                <w:b/>
                <w:color w:val="17365D"/>
                <w:sz w:val="16"/>
              </w:rPr>
              <w:t>Chapter 2 guide</w:t>
            </w:r>
          </w:p>
        </w:tc>
        <w:tc>
          <w:tcPr>
            <w:tcW w:type="dxa" w:w="2477"/>
            <w:tcMar>
              <w:top w:w="70" w:type="dxa"/>
              <w:start w:w="80" w:type="dxa"/>
              <w:bottom w:w="70" w:type="dxa"/>
              <w:end w:w="80" w:type="dxa"/>
            </w:tcMar>
            <w:shd w:fill="F4F7FA"/>
          </w:tcPr>
          <w:p>
            <w:r>
              <w:rPr>
                <w:rFonts w:ascii="Aptos" w:hAnsi="Aptos"/>
                <w:b w:val="0"/>
                <w:color w:val="1F2933"/>
                <w:sz w:val="16"/>
              </w:rPr>
              <w:t>Reviewed in the prior conversation</w:t>
            </w:r>
          </w:p>
        </w:tc>
        <w:tc>
          <w:tcPr>
            <w:tcW w:type="dxa" w:w="4752"/>
            <w:tcMar>
              <w:top w:w="70" w:type="dxa"/>
              <w:start w:w="80" w:type="dxa"/>
              <w:bottom w:w="70" w:type="dxa"/>
              <w:end w:w="80" w:type="dxa"/>
            </w:tcMar>
            <w:shd w:fill="F4F7FA"/>
          </w:tcPr>
          <w:p>
            <w:r>
              <w:rPr>
                <w:rFonts w:ascii="Aptos" w:hAnsi="Aptos"/>
                <w:b w:val="0"/>
                <w:color w:val="1F2933"/>
                <w:sz w:val="16"/>
              </w:rPr>
              <w:t>The intended outline is recorded below; the original guide remains authoritative.</w:t>
            </w:r>
          </w:p>
        </w:tc>
      </w:tr>
      <w:tr>
        <w:trPr>
          <w:cantSplit/>
        </w:trPr>
        <w:tc>
          <w:tcPr>
            <w:tcW w:type="dxa" w:w="2275"/>
            <w:tcMar>
              <w:top w:w="70" w:type="dxa"/>
              <w:start w:w="80" w:type="dxa"/>
              <w:bottom w:w="70" w:type="dxa"/>
              <w:end w:w="80" w:type="dxa"/>
            </w:tcMar>
          </w:tcPr>
          <w:p>
            <w:r>
              <w:rPr>
                <w:rFonts w:ascii="Aptos" w:hAnsi="Aptos"/>
                <w:b/>
                <w:color w:val="17365D"/>
                <w:sz w:val="16"/>
              </w:rPr>
              <w:t>Literature search</w:t>
            </w:r>
          </w:p>
        </w:tc>
        <w:tc>
          <w:tcPr>
            <w:tcW w:type="dxa" w:w="2477"/>
            <w:tcMar>
              <w:top w:w="70" w:type="dxa"/>
              <w:start w:w="80" w:type="dxa"/>
              <w:bottom w:w="70" w:type="dxa"/>
              <w:end w:w="80" w:type="dxa"/>
            </w:tcMar>
          </w:tcPr>
          <w:p>
            <w:r>
              <w:rPr>
                <w:rFonts w:ascii="Aptos" w:hAnsi="Aptos"/>
                <w:b w:val="0"/>
                <w:color w:val="1F2933"/>
                <w:sz w:val="16"/>
              </w:rPr>
              <w:t>Three batches completed</w:t>
            </w:r>
          </w:p>
        </w:tc>
        <w:tc>
          <w:tcPr>
            <w:tcW w:type="dxa" w:w="4752"/>
            <w:tcMar>
              <w:top w:w="70" w:type="dxa"/>
              <w:start w:w="80" w:type="dxa"/>
              <w:bottom w:w="70" w:type="dxa"/>
              <w:end w:w="80" w:type="dxa"/>
            </w:tcMar>
          </w:tcPr>
          <w:p>
            <w:r>
              <w:rPr>
                <w:rFonts w:ascii="Aptos" w:hAnsi="Aptos"/>
                <w:b w:val="0"/>
                <w:color w:val="1F2933"/>
                <w:sz w:val="16"/>
              </w:rPr>
              <w:t>32 candidates: 30 published conference or journal works and 2 arXiv preprints.</w:t>
            </w:r>
          </w:p>
        </w:tc>
      </w:tr>
      <w:tr>
        <w:trPr>
          <w:cantSplit/>
        </w:trPr>
        <w:tc>
          <w:tcPr>
            <w:tcW w:type="dxa" w:w="2275"/>
            <w:tcMar>
              <w:top w:w="70" w:type="dxa"/>
              <w:start w:w="80" w:type="dxa"/>
              <w:bottom w:w="70" w:type="dxa"/>
              <w:end w:w="80" w:type="dxa"/>
            </w:tcMar>
            <w:shd w:fill="F4F7FA"/>
          </w:tcPr>
          <w:p>
            <w:r>
              <w:rPr>
                <w:rFonts w:ascii="Aptos" w:hAnsi="Aptos"/>
                <w:b/>
                <w:color w:val="17365D"/>
                <w:sz w:val="16"/>
              </w:rPr>
              <w:t>Thematic synthesis</w:t>
            </w:r>
          </w:p>
        </w:tc>
        <w:tc>
          <w:tcPr>
            <w:tcW w:type="dxa" w:w="2477"/>
            <w:tcMar>
              <w:top w:w="70" w:type="dxa"/>
              <w:start w:w="80" w:type="dxa"/>
              <w:bottom w:w="70" w:type="dxa"/>
              <w:end w:w="80" w:type="dxa"/>
            </w:tcMar>
            <w:shd w:fill="F4F7FA"/>
          </w:tcPr>
          <w:p>
            <w:r>
              <w:rPr>
                <w:rFonts w:ascii="Aptos" w:hAnsi="Aptos"/>
                <w:b w:val="0"/>
                <w:color w:val="1F2933"/>
                <w:sz w:val="16"/>
              </w:rPr>
              <w:t>Core relationships identified</w:t>
            </w:r>
          </w:p>
        </w:tc>
        <w:tc>
          <w:tcPr>
            <w:tcW w:type="dxa" w:w="4752"/>
            <w:tcMar>
              <w:top w:w="70" w:type="dxa"/>
              <w:start w:w="80" w:type="dxa"/>
              <w:bottom w:w="70" w:type="dxa"/>
              <w:end w:w="80" w:type="dxa"/>
            </w:tcMar>
            <w:shd w:fill="F4F7FA"/>
          </w:tcPr>
          <w:p>
            <w:r>
              <w:rPr>
                <w:rFonts w:ascii="Aptos" w:hAnsi="Aptos"/>
                <w:b w:val="0"/>
                <w:color w:val="1F2933"/>
                <w:sz w:val="16"/>
              </w:rPr>
              <w:t>Needs conversion into formal Chapter 2 prose.</w:t>
            </w:r>
          </w:p>
        </w:tc>
      </w:tr>
      <w:tr>
        <w:trPr>
          <w:cantSplit/>
        </w:trPr>
        <w:tc>
          <w:tcPr>
            <w:tcW w:type="dxa" w:w="2275"/>
            <w:tcMar>
              <w:top w:w="70" w:type="dxa"/>
              <w:start w:w="80" w:type="dxa"/>
              <w:bottom w:w="70" w:type="dxa"/>
              <w:end w:w="80" w:type="dxa"/>
            </w:tcMar>
          </w:tcPr>
          <w:p>
            <w:r>
              <w:rPr>
                <w:rFonts w:ascii="Aptos" w:hAnsi="Aptos"/>
                <w:b/>
                <w:color w:val="17365D"/>
                <w:sz w:val="16"/>
              </w:rPr>
              <w:t>Research gap</w:t>
            </w:r>
          </w:p>
        </w:tc>
        <w:tc>
          <w:tcPr>
            <w:tcW w:type="dxa" w:w="2477"/>
            <w:tcMar>
              <w:top w:w="70" w:type="dxa"/>
              <w:start w:w="80" w:type="dxa"/>
              <w:bottom w:w="70" w:type="dxa"/>
              <w:end w:w="80" w:type="dxa"/>
            </w:tcMar>
          </w:tcPr>
          <w:p>
            <w:r>
              <w:rPr>
                <w:rFonts w:ascii="Aptos" w:hAnsi="Aptos"/>
                <w:b w:val="0"/>
                <w:color w:val="1F2933"/>
                <w:sz w:val="16"/>
              </w:rPr>
              <w:t>Defensible wording prepared</w:t>
            </w:r>
          </w:p>
        </w:tc>
        <w:tc>
          <w:tcPr>
            <w:tcW w:type="dxa" w:w="4752"/>
            <w:tcMar>
              <w:top w:w="70" w:type="dxa"/>
              <w:start w:w="80" w:type="dxa"/>
              <w:bottom w:w="70" w:type="dxa"/>
              <w:end w:w="80" w:type="dxa"/>
            </w:tcMar>
          </w:tcPr>
          <w:p>
            <w:r>
              <w:rPr>
                <w:rFonts w:ascii="Aptos" w:hAnsi="Aptos"/>
                <w:b w:val="0"/>
                <w:color w:val="1F2933"/>
                <w:sz w:val="16"/>
              </w:rPr>
              <w:t>Must remain cautious because a 2026 text-rich benchmark preprint now exists.</w:t>
            </w:r>
          </w:p>
        </w:tc>
      </w:tr>
      <w:tr>
        <w:trPr>
          <w:cantSplit/>
        </w:trPr>
        <w:tc>
          <w:tcPr>
            <w:tcW w:type="dxa" w:w="2275"/>
            <w:tcMar>
              <w:top w:w="70" w:type="dxa"/>
              <w:start w:w="80" w:type="dxa"/>
              <w:bottom w:w="70" w:type="dxa"/>
              <w:end w:w="80" w:type="dxa"/>
            </w:tcMar>
            <w:shd w:fill="F4F7FA"/>
          </w:tcPr>
          <w:p>
            <w:r>
              <w:rPr>
                <w:rFonts w:ascii="Aptos" w:hAnsi="Aptos"/>
                <w:b/>
                <w:color w:val="17365D"/>
                <w:sz w:val="16"/>
              </w:rPr>
              <w:t>Chapter 2 draft</w:t>
            </w:r>
          </w:p>
        </w:tc>
        <w:tc>
          <w:tcPr>
            <w:tcW w:type="dxa" w:w="2477"/>
            <w:tcMar>
              <w:top w:w="70" w:type="dxa"/>
              <w:start w:w="80" w:type="dxa"/>
              <w:bottom w:w="70" w:type="dxa"/>
              <w:end w:w="80" w:type="dxa"/>
            </w:tcMar>
            <w:shd w:fill="F4F7FA"/>
          </w:tcPr>
          <w:p>
            <w:r>
              <w:rPr>
                <w:rFonts w:ascii="Aptos" w:hAnsi="Aptos"/>
                <w:b w:val="0"/>
                <w:color w:val="1F2933"/>
                <w:sz w:val="16"/>
              </w:rPr>
              <w:t>Not yet completed</w:t>
            </w:r>
          </w:p>
        </w:tc>
        <w:tc>
          <w:tcPr>
            <w:tcW w:type="dxa" w:w="4752"/>
            <w:tcMar>
              <w:top w:w="70" w:type="dxa"/>
              <w:start w:w="80" w:type="dxa"/>
              <w:bottom w:w="70" w:type="dxa"/>
              <w:end w:w="80" w:type="dxa"/>
            </w:tcMar>
            <w:shd w:fill="F4F7FA"/>
          </w:tcPr>
          <w:p>
            <w:r>
              <w:rPr>
                <w:rFonts w:ascii="Aptos" w:hAnsi="Aptos"/>
                <w:b w:val="0"/>
                <w:color w:val="1F2933"/>
                <w:sz w:val="16"/>
              </w:rPr>
              <w:t>Next major deliverable after final metadata verification.</w:t>
            </w:r>
          </w:p>
        </w:tc>
      </w:tr>
    </w:tbl>
    <w:p>
      <w:r>
        <w:br w:type="page"/>
      </w:r>
    </w:p>
    <w:p>
      <w:pPr>
        <w:pStyle w:val="Heading1"/>
        <w:keepNext/>
      </w:pPr>
      <w:r>
        <w:t>2 Project identity and locked scope</w:t>
      </w:r>
    </w:p>
    <w:p>
      <w:pPr>
        <w:pStyle w:val="Heading2"/>
        <w:keepNext/>
      </w:pPr>
      <w:r>
        <w:t>Study title</w:t>
      </w:r>
    </w:p>
    <w:p>
      <w:r>
        <w:rPr>
          <w:rFonts w:ascii="Aptos" w:hAnsi="Aptos"/>
          <w:b/>
          <w:color w:val="17365D"/>
          <w:sz w:val="23"/>
        </w:rPr>
        <w:t>Machine Learning Classification of AI-Generated and Real Text-Containing Images Using Visual Text-Region Features</w:t>
      </w:r>
    </w:p>
    <w:p>
      <w:pPr>
        <w:pStyle w:val="Heading2"/>
        <w:keepNext/>
      </w:pPr>
      <w:r>
        <w:t>Core classification task</w:t>
      </w:r>
    </w:p>
    <w:p>
      <w:r>
        <w:t>The proposed system performs binary image classification: AI-generated versus real or non-AI text-containing images. The distinctive design choice is that the classifier receives visual measurements extracted from localized text regions rather than recognized words or semantic meaning.</w:t>
      </w:r>
    </w:p>
    <w:p>
      <w:pPr>
        <w:pStyle w:val="Heading2"/>
        <w:keepNext/>
      </w:pPr>
      <w:r>
        <w:t>Locked decisions</w:t>
      </w:r>
    </w:p>
    <w:p>
      <w:pPr>
        <w:pStyle w:val="ListBullet"/>
        <w:spacing w:after="50"/>
      </w:pPr>
      <w:r>
        <w:rPr>
          <w:rFonts w:ascii="Aptos" w:hAnsi="Aptos"/>
        </w:rPr>
        <w:t>The unit of classification is an image containing visible text.</w:t>
      </w:r>
    </w:p>
    <w:p>
      <w:pPr>
        <w:pStyle w:val="ListBullet"/>
        <w:spacing w:after="50"/>
      </w:pPr>
      <w:r>
        <w:rPr>
          <w:rFonts w:ascii="Aptos" w:hAnsi="Aptos"/>
        </w:rPr>
        <w:t>A text detector or OCR component may be used to locate text regions, bounding boxes, or masks.</w:t>
      </w:r>
    </w:p>
    <w:p>
      <w:pPr>
        <w:pStyle w:val="ListBullet"/>
        <w:spacing w:after="50"/>
      </w:pPr>
      <w:r>
        <w:rPr>
          <w:rFonts w:ascii="Aptos" w:hAnsi="Aptos"/>
        </w:rPr>
        <w:t>Recognized text, language meaning, sentiment, topic, spelling, or any other semantic content is excluded from the classifier features.</w:t>
      </w:r>
    </w:p>
    <w:p>
      <w:pPr>
        <w:pStyle w:val="ListBullet"/>
        <w:spacing w:after="50"/>
      </w:pPr>
      <w:r>
        <w:rPr>
          <w:rFonts w:ascii="Aptos" w:hAnsi="Aptos"/>
        </w:rPr>
        <w:t>Candidate visual feature families include stroke appearance and width consistency, character shape, inter-character and inter-line spacing, alignment, edge and gradient quality, texture, contrast, sharpness or blur, and text density.</w:t>
      </w:r>
    </w:p>
    <w:p>
      <w:pPr>
        <w:pStyle w:val="ListBullet"/>
        <w:spacing w:after="50"/>
      </w:pPr>
      <w:r>
        <w:rPr>
          <w:rFonts w:ascii="Aptos" w:hAnsi="Aptos"/>
        </w:rPr>
        <w:t>The planned traditional classifiers are Logistic Regression, Support Vector Machine, and Random Forest.</w:t>
      </w:r>
    </w:p>
    <w:p>
      <w:pPr>
        <w:pStyle w:val="ListBullet"/>
        <w:spacing w:after="50"/>
      </w:pPr>
      <w:r>
        <w:rPr>
          <w:rFonts w:ascii="Aptos" w:hAnsi="Aptos"/>
        </w:rPr>
        <w:t>The main contribution is a reproducible experimental pipeline. A software prototype is secondary and should demonstrate the research pipeline rather than replace the research contribution.</w:t>
      </w:r>
    </w:p>
    <w:p>
      <w:pPr>
        <w:pStyle w:val="ListBullet"/>
        <w:spacing w:after="50"/>
      </w:pPr>
      <w:r>
        <w:rPr>
          <w:rFonts w:ascii="Aptos" w:hAnsi="Aptos"/>
        </w:rPr>
        <w:t>Generalization is central. Evaluation should include unseen generators and common image degradations such as JPEG compression, resizing, blur, and noise.</w:t>
      </w:r>
    </w:p>
    <w:p>
      <w:pPr>
        <w:pStyle w:val="ListBullet"/>
        <w:spacing w:after="50"/>
      </w:pPr>
      <w:r>
        <w:rPr>
          <w:rFonts w:ascii="Aptos" w:hAnsi="Aptos"/>
        </w:rPr>
        <w:t>Recent literature from 2021 to 2026 is preferred. Older sources are allowed when they establish a foundational method or evaluation principle.</w:t>
      </w:r>
    </w:p>
    <w:p>
      <w:pPr>
        <w:pStyle w:val="ListBullet"/>
        <w:spacing w:after="50"/>
      </w:pPr>
      <w:r>
        <w:rPr>
          <w:rFonts w:ascii="Aptos" w:hAnsi="Aptos"/>
        </w:rPr>
        <w:t>Chapter 2 should use approximately 30 credible sources, normally three to five anchor studies per major theme, and should synthesize studies instead of listing them one by one.</w:t>
      </w:r>
    </w:p>
    <w:p>
      <w:pPr>
        <w:pStyle w:val="Heading2"/>
        <w:keepNext/>
      </w:pPr>
      <w:r>
        <w:t>Scope boundary</w:t>
      </w:r>
    </w:p>
    <w:tbl>
      <w:tblPr>
        <w:tblW w:type="auto" w:w="0"/>
        <w:jc w:val="center"/>
        <w:tblLayout w:type="fixed"/>
        <w:tblLook w:firstColumn="1" w:firstRow="1" w:lastColumn="0" w:lastRow="0" w:noHBand="0" w:noVBand="1" w:val="04A0"/>
      </w:tblPr>
      <w:tblGrid>
        <w:gridCol w:w="4917"/>
        <w:gridCol w:w="4917"/>
      </w:tblGrid>
      <w:tr>
        <w:tc>
          <w:tcPr>
            <w:tcW w:type="dxa" w:w="2520"/>
            <w:shd w:fill="E2F0D9"/>
            <w:tcMar>
              <w:top w:w="90" w:type="dxa"/>
              <w:start w:w="100" w:type="dxa"/>
              <w:bottom w:w="90" w:type="dxa"/>
              <w:end w:w="100" w:type="dxa"/>
            </w:tcMar>
          </w:tcPr>
          <w:p>
            <w:r>
              <w:rPr>
                <w:rFonts w:ascii="Aptos" w:hAnsi="Aptos"/>
                <w:b/>
                <w:color w:val="17365D"/>
                <w:sz w:val="17"/>
              </w:rPr>
              <w:t>Included</w:t>
            </w:r>
          </w:p>
        </w:tc>
        <w:tc>
          <w:tcPr>
            <w:tcW w:type="dxa" w:w="6984"/>
            <w:tcMar>
              <w:top w:w="90" w:type="dxa"/>
              <w:start w:w="100" w:type="dxa"/>
              <w:bottom w:w="90" w:type="dxa"/>
              <w:end w:w="100" w:type="dxa"/>
            </w:tcMar>
          </w:tcPr>
          <w:p>
            <w:r>
              <w:rPr>
                <w:rFonts w:ascii="Aptos" w:hAnsi="Aptos"/>
                <w:sz w:val="17"/>
              </w:rPr>
              <w:t>Text localization, image preprocessing, handcrafted or interpretable visual features, traditional supervised classification, generalization tests, degradation tests, ablation, reliability metrics.</w:t>
            </w:r>
          </w:p>
        </w:tc>
      </w:tr>
      <w:tr>
        <w:tc>
          <w:tcPr>
            <w:tcW w:type="dxa" w:w="2520"/>
            <w:shd w:fill="FCE4D6"/>
            <w:tcMar>
              <w:top w:w="90" w:type="dxa"/>
              <w:start w:w="100" w:type="dxa"/>
              <w:bottom w:w="90" w:type="dxa"/>
              <w:end w:w="100" w:type="dxa"/>
            </w:tcMar>
          </w:tcPr>
          <w:p>
            <w:r>
              <w:rPr>
                <w:rFonts w:ascii="Aptos" w:hAnsi="Aptos"/>
                <w:b/>
                <w:color w:val="17365D"/>
                <w:sz w:val="17"/>
              </w:rPr>
              <w:t>Excluded unless the proposal changes</w:t>
            </w:r>
          </w:p>
        </w:tc>
        <w:tc>
          <w:tcPr>
            <w:tcW w:type="dxa" w:w="6984"/>
            <w:tcMar>
              <w:top w:w="90" w:type="dxa"/>
              <w:start w:w="100" w:type="dxa"/>
              <w:bottom w:w="90" w:type="dxa"/>
              <w:end w:w="100" w:type="dxa"/>
            </w:tcMar>
          </w:tcPr>
          <w:p>
            <w:r>
              <w:rPr>
                <w:rFonts w:ascii="Aptos" w:hAnsi="Aptos"/>
                <w:sz w:val="17"/>
              </w:rPr>
              <w:t>Recognized text content, NLP features, spelling correctness, semantic coherence, prompt recovery, LLM-based classification, metadata-only shortcuts, and an unrestricted whole-image deep neural classifier as the proposed method.</w:t>
            </w:r>
          </w:p>
        </w:tc>
      </w:tr>
      <w:tr>
        <w:tc>
          <w:tcPr>
            <w:tcW w:type="dxa" w:w="2520"/>
            <w:shd w:fill="D9EAF7"/>
            <w:tcMar>
              <w:top w:w="90" w:type="dxa"/>
              <w:start w:w="100" w:type="dxa"/>
              <w:bottom w:w="90" w:type="dxa"/>
              <w:end w:w="100" w:type="dxa"/>
            </w:tcMar>
          </w:tcPr>
          <w:p>
            <w:r>
              <w:rPr>
                <w:rFonts w:ascii="Aptos" w:hAnsi="Aptos"/>
                <w:b/>
                <w:color w:val="17365D"/>
                <w:sz w:val="17"/>
              </w:rPr>
              <w:t>Allowed as related work</w:t>
            </w:r>
          </w:p>
        </w:tc>
        <w:tc>
          <w:tcPr>
            <w:tcW w:type="dxa" w:w="6984"/>
            <w:tcMar>
              <w:top w:w="90" w:type="dxa"/>
              <w:start w:w="100" w:type="dxa"/>
              <w:bottom w:w="90" w:type="dxa"/>
              <w:end w:w="100" w:type="dxa"/>
            </w:tcMar>
          </w:tcPr>
          <w:p>
            <w:r>
              <w:rPr>
                <w:rFonts w:ascii="Aptos" w:hAnsi="Aptos"/>
                <w:sz w:val="17"/>
              </w:rPr>
              <w:t>Deep-learning detectors, reconstruction-based detectors, frequency methods, and vision-language models may be discussed as comparison context or evidence of the broader problem.</w:t>
            </w:r>
          </w:p>
        </w:tc>
      </w:tr>
    </w:tbl>
    <w:p>
      <w:pPr>
        <w:pStyle w:val="Heading1"/>
        <w:keepNext/>
      </w:pPr>
      <w:r>
        <w:t>3 Intended Chapter 2 structure</w:t>
      </w:r>
    </w:p>
    <w:p>
      <w:pPr>
        <w:spacing w:after="70"/>
      </w:pPr>
      <w:r>
        <w:rPr>
          <w:rFonts w:ascii="Aptos" w:hAnsi="Aptos"/>
          <w:b/>
          <w:color w:val="17365D"/>
        </w:rPr>
        <w:t xml:space="preserve">2.1 Introduction  </w:t>
      </w:r>
      <w:r>
        <w:rPr>
          <w:rFonts w:ascii="Aptos" w:hAnsi="Aptos"/>
        </w:rPr>
        <w:t>State the review's purpose, scope, organization, and the distinction between localization and semantic OCR.</w:t>
      </w:r>
    </w:p>
    <w:p>
      <w:pPr>
        <w:spacing w:after="70"/>
      </w:pPr>
      <w:r>
        <w:rPr>
          <w:rFonts w:ascii="Aptos" w:hAnsi="Aptos"/>
          <w:b/>
          <w:color w:val="17365D"/>
        </w:rPr>
        <w:t xml:space="preserve">2.2 AI-Generated Image Detection and Generalization  </w:t>
      </w:r>
      <w:r>
        <w:rPr>
          <w:rFonts w:ascii="Aptos" w:hAnsi="Aptos"/>
        </w:rPr>
        <w:t>Review general detection methods, cross-generator transfer, dataset bias, and robustness under degradation.</w:t>
      </w:r>
    </w:p>
    <w:p>
      <w:pPr>
        <w:spacing w:after="70"/>
      </w:pPr>
      <w:r>
        <w:rPr>
          <w:rFonts w:ascii="Aptos" w:hAnsi="Aptos"/>
          <w:b/>
          <w:color w:val="17365D"/>
        </w:rPr>
        <w:t xml:space="preserve">2.3 Text-Rich Images, Datasets, and Data Preparation  </w:t>
      </w:r>
      <w:r>
        <w:rPr>
          <w:rFonts w:ascii="Aptos" w:hAnsi="Aptos"/>
        </w:rPr>
        <w:t>Explain why text-rich images are a distinct evaluation domain and how balanced, provenance-aware data should be assembled.</w:t>
      </w:r>
    </w:p>
    <w:p>
      <w:pPr>
        <w:spacing w:after="70"/>
      </w:pPr>
      <w:r>
        <w:rPr>
          <w:rFonts w:ascii="Aptos" w:hAnsi="Aptos"/>
          <w:b/>
          <w:color w:val="17365D"/>
        </w:rPr>
        <w:t xml:space="preserve">2.4 Text-Region Detection and Localization  </w:t>
      </w:r>
      <w:r>
        <w:rPr>
          <w:rFonts w:ascii="Aptos" w:hAnsi="Aptos"/>
        </w:rPr>
        <w:t>Discuss CRAFT, DBNet++, ABPN, and related methods as localization tools rather than authenticity classifiers.</w:t>
      </w:r>
    </w:p>
    <w:p>
      <w:pPr>
        <w:spacing w:after="70"/>
      </w:pPr>
      <w:r>
        <w:rPr>
          <w:rFonts w:ascii="Aptos" w:hAnsi="Aptos"/>
          <w:b/>
          <w:color w:val="17365D"/>
        </w:rPr>
        <w:t xml:space="preserve">2.5 Visual Text-Region Features  </w:t>
      </w:r>
      <w:r>
        <w:rPr>
          <w:rFonts w:ascii="Aptos" w:hAnsi="Aptos"/>
        </w:rPr>
        <w:t>Synthesize stroke, shape, spacing, alignment, edge, gradient, texture, contrast, sharpness, blur, and density evidence.</w:t>
      </w:r>
    </w:p>
    <w:p>
      <w:pPr>
        <w:spacing w:after="70"/>
      </w:pPr>
      <w:r>
        <w:rPr>
          <w:rFonts w:ascii="Aptos" w:hAnsi="Aptos"/>
          <w:b/>
          <w:color w:val="17365D"/>
        </w:rPr>
        <w:t xml:space="preserve">2.6 Traditional Machine Learning Classifiers  </w:t>
      </w:r>
      <w:r>
        <w:rPr>
          <w:rFonts w:ascii="Aptos" w:hAnsi="Aptos"/>
        </w:rPr>
        <w:t>Explain why Logistic Regression, SVM, and Random Forest are suitable comparative models for a tabular feature vector.</w:t>
      </w:r>
    </w:p>
    <w:p>
      <w:pPr>
        <w:spacing w:after="70"/>
      </w:pPr>
      <w:r>
        <w:rPr>
          <w:rFonts w:ascii="Aptos" w:hAnsi="Aptos"/>
          <w:b/>
          <w:color w:val="17365D"/>
        </w:rPr>
        <w:t xml:space="preserve">2.7 Evaluation and Reliability  </w:t>
      </w:r>
      <w:r>
        <w:rPr>
          <w:rFonts w:ascii="Aptos" w:hAnsi="Aptos"/>
        </w:rPr>
        <w:t>Cover leakage prevention, grouped splits, nested tuning, cross-generator testing, class imbalance, metrics, and reproducibility.</w:t>
      </w:r>
    </w:p>
    <w:p>
      <w:pPr>
        <w:spacing w:after="70"/>
      </w:pPr>
      <w:r>
        <w:rPr>
          <w:rFonts w:ascii="Aptos" w:hAnsi="Aptos"/>
          <w:b/>
          <w:color w:val="17365D"/>
        </w:rPr>
        <w:t xml:space="preserve">2.8 Systems and Prototype Context  </w:t>
      </w:r>
      <w:r>
        <w:rPr>
          <w:rFonts w:ascii="Aptos" w:hAnsi="Aptos"/>
        </w:rPr>
        <w:t>Position the prototype as the operational layer for preprocessing, feature extraction, classification, and result display.</w:t>
      </w:r>
    </w:p>
    <w:p>
      <w:pPr>
        <w:spacing w:after="70"/>
      </w:pPr>
      <w:r>
        <w:rPr>
          <w:rFonts w:ascii="Aptos" w:hAnsi="Aptos"/>
          <w:b/>
          <w:color w:val="17365D"/>
        </w:rPr>
        <w:t xml:space="preserve">2.9 Synthesis  </w:t>
      </w:r>
      <w:r>
        <w:rPr>
          <w:rFonts w:ascii="Aptos" w:hAnsi="Aptos"/>
        </w:rPr>
        <w:t>Integrate what the literature establishes and where the evidence remains incomplete.</w:t>
      </w:r>
    </w:p>
    <w:p>
      <w:pPr>
        <w:spacing w:after="70"/>
      </w:pPr>
      <w:r>
        <w:rPr>
          <w:rFonts w:ascii="Aptos" w:hAnsi="Aptos"/>
          <w:b/>
          <w:color w:val="17365D"/>
        </w:rPr>
        <w:t xml:space="preserve">2.10 Research Gap and Study Contribution  </w:t>
      </w:r>
      <w:r>
        <w:rPr>
          <w:rFonts w:ascii="Aptos" w:hAnsi="Aptos"/>
        </w:rPr>
        <w:t>State the narrow gap addressed by the study without claiming that no related work exists.</w:t>
      </w:r>
    </w:p>
    <w:p>
      <w:pPr>
        <w:spacing w:after="70"/>
      </w:pPr>
      <w:r>
        <w:rPr>
          <w:rFonts w:ascii="Aptos" w:hAnsi="Aptos"/>
          <w:b/>
          <w:color w:val="17365D"/>
        </w:rPr>
        <w:t xml:space="preserve">2.11 Conceptual Framework  </w:t>
      </w:r>
      <w:r>
        <w:rPr>
          <w:rFonts w:ascii="Aptos" w:hAnsi="Aptos"/>
        </w:rPr>
        <w:t>Connect input images, text localization, visual feature extraction, image-level aggregation, model training, and evaluation.</w:t>
      </w:r>
    </w:p>
    <w:p>
      <w:pPr>
        <w:spacing w:after="70"/>
      </w:pPr>
      <w:r>
        <w:rPr>
          <w:rFonts w:ascii="Aptos" w:hAnsi="Aptos"/>
          <w:b/>
          <w:color w:val="17365D"/>
        </w:rPr>
        <w:t xml:space="preserve">2.12 Chapter Summary  </w:t>
      </w:r>
      <w:r>
        <w:rPr>
          <w:rFonts w:ascii="Aptos" w:hAnsi="Aptos"/>
        </w:rPr>
        <w:t>Summarize the evidence and bridge directly to the methodology chapter.</w:t>
      </w:r>
    </w:p>
    <w:p>
      <w:pPr>
        <w:pStyle w:val="Heading1"/>
        <w:keepNext/>
      </w:pPr>
      <w:r>
        <w:t>4 Thematic synthesis already established</w:t>
      </w:r>
    </w:p>
    <w:p>
      <w:pPr>
        <w:pStyle w:val="Heading2"/>
        <w:keepNext/>
      </w:pPr>
      <w:r>
        <w:t>Generalization is the central detection problem</w:t>
      </w:r>
    </w:p>
    <w:p>
      <w:r>
        <w:t>Large benchmarks and cross-generator studies show that high performance on a familiar generator does not establish a reliable detector. GenImage formalizes cross-generator and degraded-image tasks, while Ojha et al., AIDE, Community Forensics, SFLD, and RRDataset emphasize generator diversity, content bias, calibration, or real-world shifts. The proposed study should therefore treat random in-distribution accuracy as only one result, not the final claim.</w:t>
      </w:r>
    </w:p>
    <w:p>
      <w:pPr>
        <w:pStyle w:val="Heading2"/>
        <w:keepNext/>
      </w:pPr>
      <w:r>
        <w:t>Text-rich images require a distinct evaluation lens</w:t>
      </w:r>
    </w:p>
    <w:p>
      <w:r>
        <w:t>TextFake is the closest verified candidate to the target domain. It reports that detectors developed on natural-image benchmarks can fail on screenshots, documents, and other text-rich imagery, and it studies text density, scene modality, rendering fidelity, and perturbations. However, TextFake is currently an arXiv preprint and evaluates existing detector families; it does not replace the proposed explainable pipeline based exclusively on localized visual text-region measurements and traditional classifiers.</w:t>
      </w:r>
    </w:p>
    <w:p>
      <w:pPr>
        <w:pStyle w:val="Heading2"/>
        <w:keepNext/>
      </w:pPr>
      <w:r>
        <w:t>Localization is necessary but does not answer authenticity</w:t>
      </w:r>
    </w:p>
    <w:p>
      <w:r>
        <w:t>CRAFT, DBNet++, and ABPN support accurate text-region localization across complex shapes and scales. Their role in this thesis is to isolate candidate regions. They do not determine whether an image is AI-generated. The literature review must maintain this separation so that the localization component is not misrepresented as a forensic detector.</w:t>
      </w:r>
    </w:p>
    <w:p>
      <w:pPr>
        <w:pStyle w:val="Heading2"/>
        <w:keepNext/>
      </w:pPr>
      <w:r>
        <w:t>Local visual evidence can be measured without reading the text</w:t>
      </w:r>
    </w:p>
    <w:p>
      <w:r>
        <w:t>Stroke Width Transform and character-centered image-quality work justify examining stroke consistency, edges, gradients, sharpness, blur, contrast, and character geometry. Patch-based and gradient-based forensic research suggests that local artifacts can generalize better than global semantic cues in some settings. This evidence supports localized measurement, but most of it concerns general images, faces, GANs, or document quality rather than text-rich diffusion imagery. The Chapter 2 synthesis must state that transfer boundary explicitly.</w:t>
      </w:r>
    </w:p>
    <w:p>
      <w:pPr>
        <w:pStyle w:val="Heading2"/>
        <w:keepNext/>
      </w:pPr>
      <w:r>
        <w:t>Traditional classifiers provide interpretable comparisons</w:t>
      </w:r>
    </w:p>
    <w:p>
      <w:r>
        <w:t>Logistic Regression offers a linear probabilistic baseline, SVM can model a high-margin boundary in a scaled feature space, and Random Forest can capture nonlinear interactions and rank feature importance. Foundational sources justify the algorithms, while more recent texture and forgery studies demonstrate that engineered features remain useful in forensic classification. The thesis should compare all three under the same leakage-safe evaluation design.</w:t>
      </w:r>
    </w:p>
    <w:p>
      <w:pPr>
        <w:pStyle w:val="Heading2"/>
        <w:keepNext/>
      </w:pPr>
      <w:r>
        <w:t>Reliability depends on the split and pipeline</w:t>
      </w:r>
    </w:p>
    <w:p>
      <w:r>
        <w:t>Data leakage can arise when augmented versions, crops, or near-duplicates of the same original image appear in both training and test sets. Feature selection, scaling, imputation, and hyperparameter tuning must be fitted only within the training folds. Group-aware splitting, a separate final test set, per-generator reporting, and degradation testing are necessary for credible claims. Accuracy alone is insufficient when class balance or threshold behavior is uncertain.</w:t>
      </w:r>
    </w:p>
    <w:p>
      <w:pPr>
        <w:pStyle w:val="Heading2"/>
        <w:keepNext/>
      </w:pPr>
      <w:r>
        <w:t>Feature plan carried forward</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016"/>
            <w:shd w:fill="17365D"/>
            <w:tcMar>
              <w:top w:w="70" w:type="dxa"/>
              <w:start w:w="80" w:type="dxa"/>
              <w:bottom w:w="70" w:type="dxa"/>
              <w:end w:w="80" w:type="dxa"/>
            </w:tcMar>
          </w:tcPr>
          <w:p>
            <w:r>
              <w:rPr>
                <w:rFonts w:ascii="Aptos" w:hAnsi="Aptos"/>
                <w:b/>
                <w:color w:val="FFFFFF"/>
                <w:sz w:val="16"/>
              </w:rPr>
              <w:t>Feature family</w:t>
            </w:r>
          </w:p>
        </w:tc>
        <w:tc>
          <w:tcPr>
            <w:tcW w:type="dxa" w:w="5328"/>
            <w:shd w:fill="17365D"/>
            <w:tcMar>
              <w:top w:w="70" w:type="dxa"/>
              <w:start w:w="80" w:type="dxa"/>
              <w:bottom w:w="70" w:type="dxa"/>
              <w:end w:w="80" w:type="dxa"/>
            </w:tcMar>
          </w:tcPr>
          <w:p>
            <w:r>
              <w:rPr>
                <w:rFonts w:ascii="Aptos" w:hAnsi="Aptos"/>
                <w:b/>
                <w:color w:val="FFFFFF"/>
                <w:sz w:val="16"/>
              </w:rPr>
              <w:t>Candidate measurements</w:t>
            </w:r>
          </w:p>
        </w:tc>
        <w:tc>
          <w:tcPr>
            <w:tcW w:type="dxa" w:w="2160"/>
            <w:shd w:fill="17365D"/>
            <w:tcMar>
              <w:top w:w="70" w:type="dxa"/>
              <w:start w:w="80" w:type="dxa"/>
              <w:bottom w:w="70" w:type="dxa"/>
              <w:end w:w="80" w:type="dxa"/>
            </w:tcMar>
          </w:tcPr>
          <w:p>
            <w:r>
              <w:rPr>
                <w:rFonts w:ascii="Aptos" w:hAnsi="Aptos"/>
                <w:b/>
                <w:color w:val="FFFFFF"/>
                <w:sz w:val="16"/>
              </w:rPr>
              <w:t>Evidence anchor</w:t>
            </w:r>
          </w:p>
        </w:tc>
      </w:tr>
      <w:tr>
        <w:trPr>
          <w:cantSplit/>
        </w:trPr>
        <w:tc>
          <w:tcPr>
            <w:tcW w:type="dxa" w:w="2016"/>
            <w:tcMar>
              <w:top w:w="70" w:type="dxa"/>
              <w:start w:w="80" w:type="dxa"/>
              <w:bottom w:w="70" w:type="dxa"/>
              <w:end w:w="80" w:type="dxa"/>
            </w:tcMar>
          </w:tcPr>
          <w:p>
            <w:r>
              <w:rPr>
                <w:rFonts w:ascii="Aptos" w:hAnsi="Aptos"/>
                <w:b/>
                <w:color w:val="17365D"/>
                <w:sz w:val="16"/>
              </w:rPr>
              <w:t>Stroke and shape</w:t>
            </w:r>
          </w:p>
        </w:tc>
        <w:tc>
          <w:tcPr>
            <w:tcW w:type="dxa" w:w="5328"/>
            <w:tcMar>
              <w:top w:w="70" w:type="dxa"/>
              <w:start w:w="80" w:type="dxa"/>
              <w:bottom w:w="70" w:type="dxa"/>
              <w:end w:w="80" w:type="dxa"/>
            </w:tcMar>
          </w:tcPr>
          <w:p>
            <w:r>
              <w:rPr>
                <w:rFonts w:ascii="Aptos" w:hAnsi="Aptos"/>
                <w:b w:val="0"/>
                <w:color w:val="1F2933"/>
                <w:sz w:val="16"/>
              </w:rPr>
              <w:t>Stroke-width mean, variance, coefficient of variation; contour irregularity; connected-component geometry; character-like aspect-ratio statistics.</w:t>
            </w:r>
          </w:p>
        </w:tc>
        <w:tc>
          <w:tcPr>
            <w:tcW w:type="dxa" w:w="2160"/>
            <w:tcMar>
              <w:top w:w="70" w:type="dxa"/>
              <w:start w:w="80" w:type="dxa"/>
              <w:bottom w:w="70" w:type="dxa"/>
              <w:end w:w="80" w:type="dxa"/>
            </w:tcMar>
          </w:tcPr>
          <w:p>
            <w:r>
              <w:rPr>
                <w:rFonts w:ascii="Aptos" w:hAnsi="Aptos"/>
                <w:b w:val="0"/>
                <w:color w:val="1F2933"/>
                <w:sz w:val="16"/>
              </w:rPr>
              <w:t>Epshtein et al.; Li et al. CG-DIQA</w:t>
            </w:r>
          </w:p>
        </w:tc>
      </w:tr>
      <w:tr>
        <w:trPr>
          <w:cantSplit/>
        </w:trPr>
        <w:tc>
          <w:tcPr>
            <w:tcW w:type="dxa" w:w="2016"/>
            <w:tcMar>
              <w:top w:w="70" w:type="dxa"/>
              <w:start w:w="80" w:type="dxa"/>
              <w:bottom w:w="70" w:type="dxa"/>
              <w:end w:w="80" w:type="dxa"/>
            </w:tcMar>
            <w:shd w:fill="F4F7FA"/>
          </w:tcPr>
          <w:p>
            <w:r>
              <w:rPr>
                <w:rFonts w:ascii="Aptos" w:hAnsi="Aptos"/>
                <w:b/>
                <w:color w:val="17365D"/>
                <w:sz w:val="16"/>
              </w:rPr>
              <w:t>Spacing and alignment</w:t>
            </w:r>
          </w:p>
        </w:tc>
        <w:tc>
          <w:tcPr>
            <w:tcW w:type="dxa" w:w="5328"/>
            <w:tcMar>
              <w:top w:w="70" w:type="dxa"/>
              <w:start w:w="80" w:type="dxa"/>
              <w:bottom w:w="70" w:type="dxa"/>
              <w:end w:w="80" w:type="dxa"/>
            </w:tcMar>
            <w:shd w:fill="F4F7FA"/>
          </w:tcPr>
          <w:p>
            <w:r>
              <w:rPr>
                <w:rFonts w:ascii="Aptos" w:hAnsi="Aptos"/>
                <w:b w:val="0"/>
                <w:color w:val="1F2933"/>
                <w:sz w:val="16"/>
              </w:rPr>
              <w:t>Horizontal and vertical gap statistics; baseline deviation; line-angle variation; bounding-box alignment consistency.</w:t>
            </w:r>
          </w:p>
        </w:tc>
        <w:tc>
          <w:tcPr>
            <w:tcW w:type="dxa" w:w="2160"/>
            <w:tcMar>
              <w:top w:w="70" w:type="dxa"/>
              <w:start w:w="80" w:type="dxa"/>
              <w:bottom w:w="70" w:type="dxa"/>
              <w:end w:w="80" w:type="dxa"/>
            </w:tcMar>
            <w:shd w:fill="F4F7FA"/>
          </w:tcPr>
          <w:p>
            <w:r>
              <w:rPr>
                <w:rFonts w:ascii="Aptos" w:hAnsi="Aptos"/>
                <w:b w:val="0"/>
                <w:color w:val="1F2933"/>
                <w:sz w:val="16"/>
              </w:rPr>
              <w:t>Text-detection outputs plus layout geometry</w:t>
            </w:r>
          </w:p>
        </w:tc>
      </w:tr>
      <w:tr>
        <w:trPr>
          <w:cantSplit/>
        </w:trPr>
        <w:tc>
          <w:tcPr>
            <w:tcW w:type="dxa" w:w="2016"/>
            <w:tcMar>
              <w:top w:w="70" w:type="dxa"/>
              <w:start w:w="80" w:type="dxa"/>
              <w:bottom w:w="70" w:type="dxa"/>
              <w:end w:w="80" w:type="dxa"/>
            </w:tcMar>
          </w:tcPr>
          <w:p>
            <w:r>
              <w:rPr>
                <w:rFonts w:ascii="Aptos" w:hAnsi="Aptos"/>
                <w:b/>
                <w:color w:val="17365D"/>
                <w:sz w:val="16"/>
              </w:rPr>
              <w:t>Edge and gradient</w:t>
            </w:r>
          </w:p>
        </w:tc>
        <w:tc>
          <w:tcPr>
            <w:tcW w:type="dxa" w:w="5328"/>
            <w:tcMar>
              <w:top w:w="70" w:type="dxa"/>
              <w:start w:w="80" w:type="dxa"/>
              <w:bottom w:w="70" w:type="dxa"/>
              <w:end w:w="80" w:type="dxa"/>
            </w:tcMar>
          </w:tcPr>
          <w:p>
            <w:r>
              <w:rPr>
                <w:rFonts w:ascii="Aptos" w:hAnsi="Aptos"/>
                <w:b w:val="0"/>
                <w:color w:val="1F2933"/>
                <w:sz w:val="16"/>
              </w:rPr>
              <w:t>Gradient magnitude distribution; edge density; edge sharpness; Laplacian variance; anti-aliasing consistency.</w:t>
            </w:r>
          </w:p>
        </w:tc>
        <w:tc>
          <w:tcPr>
            <w:tcW w:type="dxa" w:w="2160"/>
            <w:tcMar>
              <w:top w:w="70" w:type="dxa"/>
              <w:start w:w="80" w:type="dxa"/>
              <w:bottom w:w="70" w:type="dxa"/>
              <w:end w:w="80" w:type="dxa"/>
            </w:tcMar>
          </w:tcPr>
          <w:p>
            <w:r>
              <w:rPr>
                <w:rFonts w:ascii="Aptos" w:hAnsi="Aptos"/>
                <w:b w:val="0"/>
                <w:color w:val="1F2933"/>
                <w:sz w:val="16"/>
              </w:rPr>
              <w:t>LGrad; CG-DIQA; forensic edge studies</w:t>
            </w:r>
          </w:p>
        </w:tc>
      </w:tr>
      <w:tr>
        <w:trPr>
          <w:cantSplit/>
        </w:trPr>
        <w:tc>
          <w:tcPr>
            <w:tcW w:type="dxa" w:w="2016"/>
            <w:tcMar>
              <w:top w:w="70" w:type="dxa"/>
              <w:start w:w="80" w:type="dxa"/>
              <w:bottom w:w="70" w:type="dxa"/>
              <w:end w:w="80" w:type="dxa"/>
            </w:tcMar>
            <w:shd w:fill="F4F7FA"/>
          </w:tcPr>
          <w:p>
            <w:r>
              <w:rPr>
                <w:rFonts w:ascii="Aptos" w:hAnsi="Aptos"/>
                <w:b/>
                <w:color w:val="17365D"/>
                <w:sz w:val="16"/>
              </w:rPr>
              <w:t>Texture</w:t>
            </w:r>
          </w:p>
        </w:tc>
        <w:tc>
          <w:tcPr>
            <w:tcW w:type="dxa" w:w="5328"/>
            <w:tcMar>
              <w:top w:w="70" w:type="dxa"/>
              <w:start w:w="80" w:type="dxa"/>
              <w:bottom w:w="70" w:type="dxa"/>
              <w:end w:w="80" w:type="dxa"/>
            </w:tcMar>
            <w:shd w:fill="F4F7FA"/>
          </w:tcPr>
          <w:p>
            <w:r>
              <w:rPr>
                <w:rFonts w:ascii="Aptos" w:hAnsi="Aptos"/>
                <w:b w:val="0"/>
                <w:color w:val="1F2933"/>
                <w:sz w:val="16"/>
              </w:rPr>
              <w:t>Local binary pattern or related descriptors; inter-pixel correlations; texture contrast and homogeneity.</w:t>
            </w:r>
          </w:p>
        </w:tc>
        <w:tc>
          <w:tcPr>
            <w:tcW w:type="dxa" w:w="2160"/>
            <w:tcMar>
              <w:top w:w="70" w:type="dxa"/>
              <w:start w:w="80" w:type="dxa"/>
              <w:bottom w:w="70" w:type="dxa"/>
              <w:end w:w="80" w:type="dxa"/>
            </w:tcMar>
            <w:shd w:fill="F4F7FA"/>
          </w:tcPr>
          <w:p>
            <w:r>
              <w:rPr>
                <w:rFonts w:ascii="Aptos" w:hAnsi="Aptos"/>
                <w:b w:val="0"/>
                <w:color w:val="1F2933"/>
                <w:sz w:val="16"/>
              </w:rPr>
              <w:t>PatchCraft; Chai et al.; hybrid texture studies</w:t>
            </w:r>
          </w:p>
        </w:tc>
      </w:tr>
      <w:tr>
        <w:trPr>
          <w:cantSplit/>
        </w:trPr>
        <w:tc>
          <w:tcPr>
            <w:tcW w:type="dxa" w:w="2016"/>
            <w:tcMar>
              <w:top w:w="70" w:type="dxa"/>
              <w:start w:w="80" w:type="dxa"/>
              <w:bottom w:w="70" w:type="dxa"/>
              <w:end w:w="80" w:type="dxa"/>
            </w:tcMar>
          </w:tcPr>
          <w:p>
            <w:r>
              <w:rPr>
                <w:rFonts w:ascii="Aptos" w:hAnsi="Aptos"/>
                <w:b/>
                <w:color w:val="17365D"/>
                <w:sz w:val="16"/>
              </w:rPr>
              <w:t>Contrast and sharpness</w:t>
            </w:r>
          </w:p>
        </w:tc>
        <w:tc>
          <w:tcPr>
            <w:tcW w:type="dxa" w:w="5328"/>
            <w:tcMar>
              <w:top w:w="70" w:type="dxa"/>
              <w:start w:w="80" w:type="dxa"/>
              <w:bottom w:w="70" w:type="dxa"/>
              <w:end w:w="80" w:type="dxa"/>
            </w:tcMar>
          </w:tcPr>
          <w:p>
            <w:r>
              <w:rPr>
                <w:rFonts w:ascii="Aptos" w:hAnsi="Aptos"/>
                <w:b w:val="0"/>
                <w:color w:val="1F2933"/>
                <w:sz w:val="16"/>
              </w:rPr>
              <w:t>Foreground-background contrast; blur estimates; local contrast dispersion; boundary clarity.</w:t>
            </w:r>
          </w:p>
        </w:tc>
        <w:tc>
          <w:tcPr>
            <w:tcW w:type="dxa" w:w="2160"/>
            <w:tcMar>
              <w:top w:w="70" w:type="dxa"/>
              <w:start w:w="80" w:type="dxa"/>
              <w:bottom w:w="70" w:type="dxa"/>
              <w:end w:w="80" w:type="dxa"/>
            </w:tcMar>
          </w:tcPr>
          <w:p>
            <w:r>
              <w:rPr>
                <w:rFonts w:ascii="Aptos" w:hAnsi="Aptos"/>
                <w:b w:val="0"/>
                <w:color w:val="1F2933"/>
                <w:sz w:val="16"/>
              </w:rPr>
              <w:t>CG-DIQA and document-image quality literature</w:t>
            </w:r>
          </w:p>
        </w:tc>
      </w:tr>
      <w:tr>
        <w:trPr>
          <w:cantSplit/>
        </w:trPr>
        <w:tc>
          <w:tcPr>
            <w:tcW w:type="dxa" w:w="2016"/>
            <w:tcMar>
              <w:top w:w="70" w:type="dxa"/>
              <w:start w:w="80" w:type="dxa"/>
              <w:bottom w:w="70" w:type="dxa"/>
              <w:end w:w="80" w:type="dxa"/>
            </w:tcMar>
            <w:shd w:fill="F4F7FA"/>
          </w:tcPr>
          <w:p>
            <w:r>
              <w:rPr>
                <w:rFonts w:ascii="Aptos" w:hAnsi="Aptos"/>
                <w:b/>
                <w:color w:val="17365D"/>
                <w:sz w:val="16"/>
              </w:rPr>
              <w:t>Density</w:t>
            </w:r>
          </w:p>
        </w:tc>
        <w:tc>
          <w:tcPr>
            <w:tcW w:type="dxa" w:w="5328"/>
            <w:tcMar>
              <w:top w:w="70" w:type="dxa"/>
              <w:start w:w="80" w:type="dxa"/>
              <w:bottom w:w="70" w:type="dxa"/>
              <w:end w:w="80" w:type="dxa"/>
            </w:tcMar>
            <w:shd w:fill="F4F7FA"/>
          </w:tcPr>
          <w:p>
            <w:r>
              <w:rPr>
                <w:rFonts w:ascii="Aptos" w:hAnsi="Aptos"/>
                <w:b w:val="0"/>
                <w:color w:val="1F2933"/>
                <w:sz w:val="16"/>
              </w:rPr>
              <w:t>Area occupied by localized text, number of regions, characters or components per region, line density.</w:t>
            </w:r>
          </w:p>
        </w:tc>
        <w:tc>
          <w:tcPr>
            <w:tcW w:type="dxa" w:w="2160"/>
            <w:tcMar>
              <w:top w:w="70" w:type="dxa"/>
              <w:start w:w="80" w:type="dxa"/>
              <w:bottom w:w="70" w:type="dxa"/>
              <w:end w:w="80" w:type="dxa"/>
            </w:tcMar>
            <w:shd w:fill="F4F7FA"/>
          </w:tcPr>
          <w:p>
            <w:r>
              <w:rPr>
                <w:rFonts w:ascii="Aptos" w:hAnsi="Aptos"/>
                <w:b w:val="0"/>
                <w:color w:val="1F2933"/>
                <w:sz w:val="16"/>
              </w:rPr>
              <w:t>TextFake diagnostic motivation</w:t>
            </w:r>
          </w:p>
        </w:tc>
      </w:tr>
      <w:tr>
        <w:trPr>
          <w:cantSplit/>
        </w:trPr>
        <w:tc>
          <w:tcPr>
            <w:tcW w:type="dxa" w:w="2016"/>
            <w:tcMar>
              <w:top w:w="70" w:type="dxa"/>
              <w:start w:w="80" w:type="dxa"/>
              <w:bottom w:w="70" w:type="dxa"/>
              <w:end w:w="80" w:type="dxa"/>
            </w:tcMar>
          </w:tcPr>
          <w:p>
            <w:r>
              <w:rPr>
                <w:rFonts w:ascii="Aptos" w:hAnsi="Aptos"/>
                <w:b/>
                <w:color w:val="17365D"/>
                <w:sz w:val="16"/>
              </w:rPr>
              <w:t>Aggregation</w:t>
            </w:r>
          </w:p>
        </w:tc>
        <w:tc>
          <w:tcPr>
            <w:tcW w:type="dxa" w:w="5328"/>
            <w:tcMar>
              <w:top w:w="70" w:type="dxa"/>
              <w:start w:w="80" w:type="dxa"/>
              <w:bottom w:w="70" w:type="dxa"/>
              <w:end w:w="80" w:type="dxa"/>
            </w:tcMar>
          </w:tcPr>
          <w:p>
            <w:r>
              <w:rPr>
                <w:rFonts w:ascii="Aptos" w:hAnsi="Aptos"/>
                <w:b w:val="0"/>
                <w:color w:val="1F2933"/>
                <w:sz w:val="16"/>
              </w:rPr>
              <w:t>Mean, standard deviation, median, interquartile range, minima, maxima, and selected percentiles across regions.</w:t>
            </w:r>
          </w:p>
        </w:tc>
        <w:tc>
          <w:tcPr>
            <w:tcW w:type="dxa" w:w="2160"/>
            <w:tcMar>
              <w:top w:w="70" w:type="dxa"/>
              <w:start w:w="80" w:type="dxa"/>
              <w:bottom w:w="70" w:type="dxa"/>
              <w:end w:w="80" w:type="dxa"/>
            </w:tcMar>
          </w:tcPr>
          <w:p>
            <w:r>
              <w:rPr>
                <w:rFonts w:ascii="Aptos" w:hAnsi="Aptos"/>
                <w:b w:val="0"/>
                <w:color w:val="1F2933"/>
                <w:sz w:val="16"/>
              </w:rPr>
              <w:t>Required to create one fixed-length vector per image</w:t>
            </w:r>
          </w:p>
        </w:tc>
      </w:tr>
    </w:tbl>
    <w:p>
      <w:pPr>
        <w:pStyle w:val="Heading1"/>
        <w:keepNext/>
      </w:pPr>
      <w:r>
        <w:t>5 Research gap and defensible contribution</w:t>
      </w:r>
    </w:p>
    <w:tbl>
      <w:tblPr>
        <w:tblW w:type="auto" w:w="0"/>
        <w:jc w:val="center"/>
        <w:tblLayout w:type="fixed"/>
        <w:tblLook w:firstColumn="1" w:firstRow="1" w:lastColumn="0" w:lastRow="0" w:noHBand="0" w:noVBand="1" w:val="04A0"/>
      </w:tblPr>
      <w:tblGrid>
        <w:gridCol w:w="9835"/>
      </w:tblGrid>
      <w:tr>
        <w:tc>
          <w:tcPr>
            <w:tcW w:type="dxa" w:w="9576"/>
            <w:shd w:fill="D9EAF7"/>
            <w:tcMar>
              <w:top w:w="110" w:type="dxa"/>
              <w:start w:w="130" w:type="dxa"/>
              <w:bottom w:w="110" w:type="dxa"/>
              <w:end w:w="130" w:type="dxa"/>
            </w:tcMar>
          </w:tcPr>
          <w:p>
            <w:pPr>
              <w:spacing w:after="0"/>
            </w:pPr>
            <w:r>
              <w:rPr>
                <w:rFonts w:ascii="Aptos" w:hAnsi="Aptos"/>
                <w:b/>
                <w:color w:val="17365D"/>
                <w:sz w:val="18"/>
              </w:rPr>
              <w:t>RECOMMENDED GAP STATEMENT</w:t>
              <w:br/>
            </w:r>
            <w:r>
              <w:rPr>
                <w:rFonts w:ascii="Aptos" w:hAnsi="Aptos"/>
                <w:color w:val="1F2933"/>
                <w:sz w:val="18"/>
              </w:rPr>
              <w:t>Existing studies have examined general synthetic-image artifacts, localized patch-based cues, scene-text detection, and character-centered quality features. However, limited attention has been given to combining these areas into an explainable traditional machine-learning pipeline that classifies AI-generated and real text-containing images using visual features extracted exclusively from localized text regions.</w:t>
            </w:r>
          </w:p>
        </w:tc>
      </w:tr>
    </w:tbl>
    <w:p>
      <w:pPr>
        <w:spacing w:after="60"/>
      </w:pPr>
    </w:p>
    <w:p>
      <w:r>
        <w:t>This wording remains defensible after the appearance of TextFake because the claimed contribution is narrow: localized visual text-region features, no recognized-text semantics, traditional classifiers, explicit feature-family analysis, and generalization-focused evaluation. Do not use absolute statements such as “no study has addressed text-rich AI-generated images.”</w:t>
      </w:r>
    </w:p>
    <w:p>
      <w:pPr>
        <w:pStyle w:val="Heading2"/>
        <w:keepNext/>
      </w:pPr>
      <w:r>
        <w:t>Contribution framing</w:t>
      </w:r>
    </w:p>
    <w:p>
      <w:pPr>
        <w:pStyle w:val="ListBullet"/>
        <w:spacing w:after="50"/>
      </w:pPr>
      <w:r>
        <w:rPr>
          <w:rFonts w:ascii="Aptos" w:hAnsi="Aptos"/>
        </w:rPr>
        <w:t>A reproducible pipeline that localizes text, computes interpretable visual measurements, aggregates them at image level, and compares three traditional classifiers.</w:t>
      </w:r>
    </w:p>
    <w:p>
      <w:pPr>
        <w:pStyle w:val="ListBullet"/>
        <w:spacing w:after="50"/>
      </w:pPr>
      <w:r>
        <w:rPr>
          <w:rFonts w:ascii="Aptos" w:hAnsi="Aptos"/>
        </w:rPr>
        <w:t>An evaluation design that separates generator-specific fit from cross-generator generalization and measures performance after common image degradations.</w:t>
      </w:r>
    </w:p>
    <w:p>
      <w:pPr>
        <w:pStyle w:val="ListBullet"/>
        <w:spacing w:after="50"/>
      </w:pPr>
      <w:r>
        <w:rPr>
          <w:rFonts w:ascii="Aptos" w:hAnsi="Aptos"/>
        </w:rPr>
        <w:t>Feature-family ablation that tests whether stroke and shape, layout, edge quality, texture, contrast and sharpness, or density contribute distinct information.</w:t>
      </w:r>
    </w:p>
    <w:p>
      <w:pPr>
        <w:pStyle w:val="ListBullet"/>
        <w:spacing w:after="50"/>
      </w:pPr>
      <w:r>
        <w:rPr>
          <w:rFonts w:ascii="Aptos" w:hAnsi="Aptos"/>
        </w:rPr>
        <w:t>A transparent comparison between text-region-only handcrafted features and suitable baselines, without claiming that the method supersedes every deep detector.</w:t>
      </w:r>
    </w:p>
    <w:p>
      <w:pPr>
        <w:pStyle w:val="Heading1"/>
        <w:keepNext/>
      </w:pPr>
      <w:r>
        <w:t>6 Recommended experimental design</w:t>
      </w:r>
    </w:p>
    <w:p>
      <w:pPr>
        <w:spacing w:after="80"/>
        <w:ind w:left="173" w:hanging="173"/>
      </w:pPr>
      <w:r>
        <w:rPr>
          <w:rFonts w:ascii="Aptos" w:hAnsi="Aptos"/>
          <w:b/>
          <w:color w:val="17365D"/>
        </w:rPr>
        <w:t xml:space="preserve">1. Curate and audit the dataset  </w:t>
      </w:r>
      <w:r>
        <w:rPr>
          <w:rFonts w:ascii="Aptos" w:hAnsi="Aptos"/>
        </w:rPr>
        <w:t>Remove exact duplicates and near-duplicates. Record class label, source dataset, generator, original or group ID, and prompt or seed when available.</w:t>
      </w:r>
    </w:p>
    <w:p>
      <w:pPr>
        <w:spacing w:after="80"/>
        <w:ind w:left="173" w:hanging="173"/>
      </w:pPr>
      <w:r>
        <w:rPr>
          <w:rFonts w:ascii="Aptos" w:hAnsi="Aptos"/>
          <w:b/>
          <w:color w:val="17365D"/>
        </w:rPr>
        <w:t xml:space="preserve">2. Define groups before splitting  </w:t>
      </w:r>
      <w:r>
        <w:rPr>
          <w:rFonts w:ascii="Aptos" w:hAnsi="Aptos"/>
        </w:rPr>
        <w:t>All crops, resizes, compressions, or augmentations derived from the same original must remain in the same fold.</w:t>
      </w:r>
    </w:p>
    <w:p>
      <w:pPr>
        <w:spacing w:after="80"/>
        <w:ind w:left="173" w:hanging="173"/>
      </w:pPr>
      <w:r>
        <w:rPr>
          <w:rFonts w:ascii="Aptos" w:hAnsi="Aptos"/>
          <w:b/>
          <w:color w:val="17365D"/>
        </w:rPr>
        <w:t xml:space="preserve">3. Create a final untouched test set  </w:t>
      </w:r>
      <w:r>
        <w:rPr>
          <w:rFonts w:ascii="Aptos" w:hAnsi="Aptos"/>
        </w:rPr>
        <w:t>Reserve an independent test set before feature selection or hyperparameter tuning. If possible, hold out both generators and real-image sources.</w:t>
      </w:r>
    </w:p>
    <w:p>
      <w:pPr>
        <w:spacing w:after="80"/>
        <w:ind w:left="173" w:hanging="173"/>
      </w:pPr>
      <w:r>
        <w:rPr>
          <w:rFonts w:ascii="Aptos" w:hAnsi="Aptos"/>
          <w:b/>
          <w:color w:val="17365D"/>
        </w:rPr>
        <w:t xml:space="preserve">4. Build fold-safe preprocessing pipelines  </w:t>
      </w:r>
      <w:r>
        <w:rPr>
          <w:rFonts w:ascii="Aptos" w:hAnsi="Aptos"/>
        </w:rPr>
        <w:t>Fit missing-value handling, scaling, feature selection, and model tuning only on the training portion of each fold.</w:t>
      </w:r>
    </w:p>
    <w:p>
      <w:pPr>
        <w:spacing w:after="80"/>
        <w:ind w:left="173" w:hanging="173"/>
      </w:pPr>
      <w:r>
        <w:rPr>
          <w:rFonts w:ascii="Aptos" w:hAnsi="Aptos"/>
          <w:b/>
          <w:color w:val="17365D"/>
        </w:rPr>
        <w:t xml:space="preserve">5. Train comparable models  </w:t>
      </w:r>
      <w:r>
        <w:rPr>
          <w:rFonts w:ascii="Aptos" w:hAnsi="Aptos"/>
        </w:rPr>
        <w:t>Use StandardScaler followed by Logistic Regression; StandardScaler followed by SVM; and Random Forest, for which scaling is not normally required.</w:t>
      </w:r>
    </w:p>
    <w:p>
      <w:pPr>
        <w:spacing w:after="80"/>
        <w:ind w:left="173" w:hanging="173"/>
      </w:pPr>
      <w:r>
        <w:rPr>
          <w:rFonts w:ascii="Aptos" w:hAnsi="Aptos"/>
          <w:b/>
          <w:color w:val="17365D"/>
        </w:rPr>
        <w:t xml:space="preserve">6. Run standard grouped evaluation  </w:t>
      </w:r>
      <w:r>
        <w:rPr>
          <w:rFonts w:ascii="Aptos" w:hAnsi="Aptos"/>
        </w:rPr>
        <w:t>Use stratified group cross-validation when class proportions and source groups must both be respected.</w:t>
      </w:r>
    </w:p>
    <w:p>
      <w:pPr>
        <w:spacing w:after="80"/>
        <w:ind w:left="173" w:hanging="173"/>
      </w:pPr>
      <w:r>
        <w:rPr>
          <w:rFonts w:ascii="Aptos" w:hAnsi="Aptos"/>
          <w:b/>
          <w:color w:val="17365D"/>
        </w:rPr>
        <w:t xml:space="preserve">7. Run cross-generator tests  </w:t>
      </w:r>
      <w:r>
        <w:rPr>
          <w:rFonts w:ascii="Aptos" w:hAnsi="Aptos"/>
        </w:rPr>
        <w:t>Train on selected generators and test on an unseen generator. Repeat across generators when sample size permits.</w:t>
      </w:r>
    </w:p>
    <w:p>
      <w:pPr>
        <w:spacing w:after="80"/>
        <w:ind w:left="173" w:hanging="173"/>
      </w:pPr>
      <w:r>
        <w:rPr>
          <w:rFonts w:ascii="Aptos" w:hAnsi="Aptos"/>
          <w:b/>
          <w:color w:val="17365D"/>
        </w:rPr>
        <w:t xml:space="preserve">8. Run degradation tests  </w:t>
      </w:r>
      <w:r>
        <w:rPr>
          <w:rFonts w:ascii="Aptos" w:hAnsi="Aptos"/>
        </w:rPr>
        <w:t>Evaluate clean images and controlled JPEG, resize, blur, and noise variants without allowing variants of one original to cross partitions.</w:t>
      </w:r>
    </w:p>
    <w:p>
      <w:pPr>
        <w:spacing w:after="80"/>
        <w:ind w:left="173" w:hanging="173"/>
      </w:pPr>
      <w:r>
        <w:rPr>
          <w:rFonts w:ascii="Aptos" w:hAnsi="Aptos"/>
          <w:b/>
          <w:color w:val="17365D"/>
        </w:rPr>
        <w:t xml:space="preserve">9. Run feature-family ablation  </w:t>
      </w:r>
      <w:r>
        <w:rPr>
          <w:rFonts w:ascii="Aptos" w:hAnsi="Aptos"/>
        </w:rPr>
        <w:t>Compare stroke and shape, spacing and alignment, edge or sharpness or contrast, texture, density, and the combined feature set.</w:t>
      </w:r>
    </w:p>
    <w:p>
      <w:pPr>
        <w:spacing w:after="80"/>
        <w:ind w:left="173" w:hanging="173"/>
      </w:pPr>
      <w:r>
        <w:rPr>
          <w:rFonts w:ascii="Aptos" w:hAnsi="Aptos"/>
          <w:b/>
          <w:color w:val="17365D"/>
        </w:rPr>
        <w:t xml:space="preserve">10. Compare against baselines  </w:t>
      </w:r>
      <w:r>
        <w:rPr>
          <w:rFonts w:ascii="Aptos" w:hAnsi="Aptos"/>
        </w:rPr>
        <w:t>Include a dummy or majority-class classifier and, if feasible, a whole-image handcrafted-feature baseline versus the text-region-only pipeline.</w:t>
      </w:r>
    </w:p>
    <w:p>
      <w:pPr>
        <w:spacing w:after="80"/>
        <w:ind w:left="173" w:hanging="173"/>
      </w:pPr>
      <w:r>
        <w:rPr>
          <w:rFonts w:ascii="Aptos" w:hAnsi="Aptos"/>
          <w:b/>
          <w:color w:val="17365D"/>
        </w:rPr>
        <w:t xml:space="preserve">11. Report uncertainty and subgroup results  </w:t>
      </w:r>
      <w:r>
        <w:rPr>
          <w:rFonts w:ascii="Aptos" w:hAnsi="Aptos"/>
        </w:rPr>
        <w:t>Report mean and standard deviation across folds, confusion matrices, and per-generator or per-degradation performance.</w:t>
      </w:r>
    </w:p>
    <w:p>
      <w:pPr>
        <w:pStyle w:val="Heading2"/>
        <w:keepNext/>
      </w:pPr>
      <w:r>
        <w:t>Metrics</w:t>
      </w:r>
    </w:p>
    <w:p>
      <w:r>
        <w:rPr>
          <w:rFonts w:ascii="Aptos" w:hAnsi="Aptos"/>
          <w:b/>
          <w:color w:val="17365D"/>
        </w:rPr>
        <w:t xml:space="preserve">Required  </w:t>
      </w:r>
      <w:r>
        <w:rPr>
          <w:rFonts w:ascii="Aptos" w:hAnsi="Aptos"/>
        </w:rPr>
        <w:t>Accuracy, precision, recall, F1-score, and confusion matrix.</w:t>
      </w:r>
    </w:p>
    <w:p>
      <w:r>
        <w:rPr>
          <w:rFonts w:ascii="Aptos" w:hAnsi="Aptos"/>
          <w:b/>
          <w:color w:val="17365D"/>
        </w:rPr>
        <w:t xml:space="preserve">Recommended  </w:t>
      </w:r>
      <w:r>
        <w:rPr>
          <w:rFonts w:ascii="Aptos" w:hAnsi="Aptos"/>
        </w:rPr>
        <w:t>Balanced accuracy and Matthews correlation coefficient, especially when the classes or error costs are uneven.</w:t>
      </w:r>
    </w:p>
    <w:p>
      <w:r>
        <w:rPr>
          <w:rFonts w:ascii="Aptos" w:hAnsi="Aptos"/>
          <w:b/>
          <w:color w:val="17365D"/>
        </w:rPr>
        <w:t xml:space="preserve">Threshold-independent  </w:t>
      </w:r>
      <w:r>
        <w:rPr>
          <w:rFonts w:ascii="Aptos" w:hAnsi="Aptos"/>
        </w:rPr>
        <w:t>Precision–recall area under the curve or average precision when positive-class performance and imbalance matter.</w:t>
      </w:r>
    </w:p>
    <w:p>
      <w:r>
        <w:rPr>
          <w:rFonts w:ascii="Aptos" w:hAnsi="Aptos"/>
          <w:b/>
          <w:color w:val="17365D"/>
        </w:rPr>
        <w:t xml:space="preserve">Reporting rule  </w:t>
      </w:r>
      <w:r>
        <w:rPr>
          <w:rFonts w:ascii="Aptos" w:hAnsi="Aptos"/>
        </w:rPr>
        <w:t>State which class is positive, whether F1 is binary, macro, or weighted, and how the decision threshold was chosen.</w:t>
      </w:r>
    </w:p>
    <w:p>
      <w:pPr>
        <w:pStyle w:val="Heading1"/>
        <w:keepNext/>
      </w:pPr>
      <w:r>
        <w:t>7 Literature inventory</w:t>
      </w:r>
    </w:p>
    <w:p>
      <w:r>
        <w:t>The following 32 candidates form the current literature pool. “Verified” means the title and venue or source page were confirmed from an official proceedings, publisher, journal, or arXiv page during the research process. “APA details to verify” means the work appears legitimate and published, but final author order, pagination, issue, or DOI should be checked before submission. Preprints must not be described as peer-reviewed unless a later venue version is found.</w:t>
      </w:r>
    </w:p>
    <w:p>
      <w:pPr>
        <w:pStyle w:val="Heading2"/>
        <w:keepNext/>
      </w:pPr>
      <w:r>
        <w:t>7.1 AI-generated image detection and text-rich benchmarks</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261"/>
            <w:shd w:fill="17365D"/>
            <w:tcMar>
              <w:top w:w="70" w:type="dxa"/>
              <w:start w:w="80" w:type="dxa"/>
              <w:bottom w:w="70" w:type="dxa"/>
              <w:end w:w="80" w:type="dxa"/>
            </w:tcMar>
            <w:vAlign w:val="center"/>
          </w:tcPr>
          <w:p>
            <w:pPr>
              <w:jc w:val="left"/>
            </w:pPr>
            <w:r>
              <w:rPr>
                <w:rFonts w:ascii="Aptos" w:hAnsi="Aptos"/>
                <w:b/>
                <w:color w:val="FFFFFF"/>
                <w:sz w:val="16"/>
              </w:rPr>
              <w:t>Source</w:t>
            </w:r>
          </w:p>
        </w:tc>
        <w:tc>
          <w:tcPr>
            <w:tcW w:type="dxa" w:w="3413"/>
            <w:shd w:fill="17365D"/>
            <w:tcMar>
              <w:top w:w="70" w:type="dxa"/>
              <w:start w:w="80" w:type="dxa"/>
              <w:bottom w:w="70" w:type="dxa"/>
              <w:end w:w="80" w:type="dxa"/>
            </w:tcMar>
            <w:vAlign w:val="center"/>
          </w:tcPr>
          <w:p>
            <w:pPr>
              <w:jc w:val="left"/>
            </w:pPr>
            <w:r>
              <w:rPr>
                <w:rFonts w:ascii="Aptos" w:hAnsi="Aptos"/>
                <w:b/>
                <w:color w:val="FFFFFF"/>
                <w:sz w:val="16"/>
              </w:rPr>
              <w:t>Evidence and planned use</w:t>
            </w:r>
          </w:p>
        </w:tc>
        <w:tc>
          <w:tcPr>
            <w:tcW w:type="dxa" w:w="2333"/>
            <w:shd w:fill="17365D"/>
            <w:tcMar>
              <w:top w:w="70" w:type="dxa"/>
              <w:start w:w="80" w:type="dxa"/>
              <w:bottom w:w="70" w:type="dxa"/>
              <w:end w:w="80" w:type="dxa"/>
            </w:tcMar>
            <w:vAlign w:val="center"/>
          </w:tcPr>
          <w:p>
            <w:pPr>
              <w:jc w:val="left"/>
            </w:pPr>
            <w:r>
              <w:rPr>
                <w:rFonts w:ascii="Aptos" w:hAnsi="Aptos"/>
                <w:b/>
                <w:color w:val="FFFFFF"/>
                <w:sz w:val="16"/>
              </w:rPr>
              <w:t>Boundary or caution</w:t>
            </w:r>
          </w:p>
        </w:tc>
        <w:tc>
          <w:tcPr>
            <w:tcW w:type="dxa" w:w="1584"/>
            <w:shd w:fill="17365D"/>
            <w:tcMar>
              <w:top w:w="70" w:type="dxa"/>
              <w:start w:w="80" w:type="dxa"/>
              <w:bottom w:w="70" w:type="dxa"/>
              <w:end w:w="80" w:type="dxa"/>
            </w:tcMar>
            <w:vAlign w:val="center"/>
          </w:tcPr>
          <w:p>
            <w:pPr>
              <w:jc w:val="left"/>
            </w:pPr>
            <w:r>
              <w:rPr>
                <w:rFonts w:ascii="Aptos" w:hAnsi="Aptos"/>
                <w:b/>
                <w:color w:val="FFFFFF"/>
                <w:sz w:val="16"/>
              </w:rPr>
              <w:t>Status and link</w:t>
            </w:r>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Zhu et al. (2023)</w:t>
              <w:br/>
              <w:t>GenImage</w:t>
            </w:r>
          </w:p>
        </w:tc>
        <w:tc>
          <w:tcPr>
            <w:tcW w:type="dxa" w:w="3413"/>
            <w:vAlign w:val="top"/>
            <w:tcMar>
              <w:top w:w="65" w:type="dxa"/>
              <w:start w:w="75" w:type="dxa"/>
              <w:bottom w:w="65" w:type="dxa"/>
              <w:end w:w="75" w:type="dxa"/>
            </w:tcMar>
          </w:tcPr>
          <w:p>
            <w:pPr>
              <w:spacing w:after="0"/>
            </w:pPr>
            <w:r>
              <w:rPr>
                <w:rFonts w:ascii="Aptos" w:hAnsi="Aptos"/>
                <w:b w:val="0"/>
                <w:color w:val="1F2933"/>
                <w:sz w:val="15"/>
              </w:rPr>
              <w:t>Million-scale benchmark; directly supports cross-generator and degraded-image evaluation.</w:t>
            </w:r>
          </w:p>
        </w:tc>
        <w:tc>
          <w:tcPr>
            <w:tcW w:type="dxa" w:w="2333"/>
            <w:vAlign w:val="top"/>
            <w:tcMar>
              <w:top w:w="65" w:type="dxa"/>
              <w:start w:w="75" w:type="dxa"/>
              <w:bottom w:w="65" w:type="dxa"/>
              <w:end w:w="75" w:type="dxa"/>
            </w:tcMar>
          </w:tcPr>
          <w:p>
            <w:pPr>
              <w:spacing w:after="0"/>
            </w:pPr>
            <w:r>
              <w:rPr>
                <w:rFonts w:ascii="Aptos" w:hAnsi="Aptos"/>
                <w:b w:val="0"/>
                <w:color w:val="1F2933"/>
                <w:sz w:val="15"/>
              </w:rPr>
              <w:t>Natural-image benchmark rather than a text-region feature method.</w:t>
            </w:r>
          </w:p>
        </w:tc>
        <w:tc>
          <w:tcPr>
            <w:tcW w:type="dxa" w:w="1584"/>
            <w:vAlign w:val="top"/>
            <w:tcMar>
              <w:top w:w="65" w:type="dxa"/>
              <w:start w:w="75" w:type="dxa"/>
              <w:bottom w:w="65" w:type="dxa"/>
              <w:end w:w="75" w:type="dxa"/>
            </w:tcMar>
          </w:tcPr>
          <w:p>
            <w:pPr>
              <w:spacing w:after="0"/>
            </w:pPr>
            <w:r>
              <w:rPr>
                <w:rFonts w:ascii="Aptos" w:hAnsi="Aptos"/>
                <w:b/>
                <w:color w:val="548235"/>
                <w:sz w:val="14"/>
              </w:rPr>
              <w:t>Verified proceedings</w:t>
              <w:br/>
            </w:r>
            <w:hyperlink r:id="rId11">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shd w:fill="F4F7FA"/>
          </w:tcPr>
          <w:p>
            <w:pPr>
              <w:spacing w:after="0"/>
            </w:pPr>
            <w:r>
              <w:rPr>
                <w:rFonts w:ascii="Aptos" w:hAnsi="Aptos"/>
                <w:b/>
                <w:color w:val="17365D"/>
                <w:sz w:val="15"/>
              </w:rPr>
              <w:t>Ojha et al. (2023)</w:t>
              <w:br/>
              <w:t>Universal fake detectors</w:t>
            </w:r>
          </w:p>
        </w:tc>
        <w:tc>
          <w:tcPr>
            <w:tcW w:type="dxa" w:w="3413"/>
            <w:vAlign w:val="top"/>
            <w:tcMar>
              <w:top w:w="65" w:type="dxa"/>
              <w:start w:w="75" w:type="dxa"/>
              <w:bottom w:w="65" w:type="dxa"/>
              <w:end w:w="75" w:type="dxa"/>
            </w:tcMar>
            <w:shd w:fill="F4F7FA"/>
          </w:tcPr>
          <w:p>
            <w:pPr>
              <w:spacing w:after="0"/>
            </w:pPr>
            <w:r>
              <w:rPr>
                <w:rFonts w:ascii="Aptos" w:hAnsi="Aptos"/>
                <w:b w:val="0"/>
                <w:color w:val="1F2933"/>
                <w:sz w:val="15"/>
              </w:rPr>
              <w:t>Demonstrates generalization across generative models using pretrained visual representations.</w:t>
            </w:r>
          </w:p>
        </w:tc>
        <w:tc>
          <w:tcPr>
            <w:tcW w:type="dxa" w:w="2333"/>
            <w:vAlign w:val="top"/>
            <w:tcMar>
              <w:top w:w="65" w:type="dxa"/>
              <w:start w:w="75" w:type="dxa"/>
              <w:bottom w:w="65" w:type="dxa"/>
              <w:end w:w="75" w:type="dxa"/>
            </w:tcMar>
            <w:shd w:fill="F4F7FA"/>
          </w:tcPr>
          <w:p>
            <w:pPr>
              <w:spacing w:after="0"/>
            </w:pPr>
            <w:r>
              <w:rPr>
                <w:rFonts w:ascii="Aptos" w:hAnsi="Aptos"/>
                <w:b w:val="0"/>
                <w:color w:val="1F2933"/>
                <w:sz w:val="15"/>
              </w:rPr>
              <w:t>Different representation and classifier design from the proposed handcrafted pipeline.</w:t>
            </w:r>
          </w:p>
        </w:tc>
        <w:tc>
          <w:tcPr>
            <w:tcW w:type="dxa" w:w="1584"/>
            <w:vAlign w:val="top"/>
            <w:tcMar>
              <w:top w:w="65" w:type="dxa"/>
              <w:start w:w="75" w:type="dxa"/>
              <w:bottom w:w="65" w:type="dxa"/>
              <w:end w:w="75" w:type="dxa"/>
            </w:tcMar>
            <w:shd w:fill="F4F7FA"/>
          </w:tcPr>
          <w:p>
            <w:pPr>
              <w:spacing w:after="0"/>
            </w:pPr>
            <w:r>
              <w:rPr>
                <w:rFonts w:ascii="Aptos" w:hAnsi="Aptos"/>
                <w:b/>
                <w:color w:val="548235"/>
                <w:sz w:val="14"/>
              </w:rPr>
              <w:t>Verified proceedings</w:t>
              <w:br/>
            </w:r>
            <w:hyperlink r:id="rId12">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Yan et al. (2025)</w:t>
              <w:br/>
              <w:t>AIDE</w:t>
            </w:r>
          </w:p>
        </w:tc>
        <w:tc>
          <w:tcPr>
            <w:tcW w:type="dxa" w:w="3413"/>
            <w:vAlign w:val="top"/>
            <w:tcMar>
              <w:top w:w="65" w:type="dxa"/>
              <w:start w:w="75" w:type="dxa"/>
              <w:bottom w:w="65" w:type="dxa"/>
              <w:end w:w="75" w:type="dxa"/>
            </w:tcMar>
          </w:tcPr>
          <w:p>
            <w:pPr>
              <w:spacing w:after="0"/>
            </w:pPr>
            <w:r>
              <w:rPr>
                <w:rFonts w:ascii="Aptos" w:hAnsi="Aptos"/>
                <w:b w:val="0"/>
                <w:color w:val="1F2933"/>
                <w:sz w:val="15"/>
              </w:rPr>
              <w:t>Shows that current AI-image detection remains unsolved and combines semantic and low-level experts.</w:t>
            </w:r>
          </w:p>
        </w:tc>
        <w:tc>
          <w:tcPr>
            <w:tcW w:type="dxa" w:w="2333"/>
            <w:vAlign w:val="top"/>
            <w:tcMar>
              <w:top w:w="65" w:type="dxa"/>
              <w:start w:w="75" w:type="dxa"/>
              <w:bottom w:w="65" w:type="dxa"/>
              <w:end w:w="75" w:type="dxa"/>
            </w:tcMar>
          </w:tcPr>
          <w:p>
            <w:pPr>
              <w:spacing w:after="0"/>
            </w:pPr>
            <w:r>
              <w:rPr>
                <w:rFonts w:ascii="Aptos" w:hAnsi="Aptos"/>
                <w:b w:val="0"/>
                <w:color w:val="1F2933"/>
                <w:sz w:val="15"/>
              </w:rPr>
              <w:t>Includes semantic CLIP features; use as broader context, not direct methodological precedent.</w:t>
            </w:r>
          </w:p>
        </w:tc>
        <w:tc>
          <w:tcPr>
            <w:tcW w:type="dxa" w:w="1584"/>
            <w:vAlign w:val="top"/>
            <w:tcMar>
              <w:top w:w="65" w:type="dxa"/>
              <w:start w:w="75" w:type="dxa"/>
              <w:bottom w:w="65" w:type="dxa"/>
              <w:end w:w="75" w:type="dxa"/>
            </w:tcMar>
          </w:tcPr>
          <w:p>
            <w:pPr>
              <w:spacing w:after="0"/>
            </w:pPr>
            <w:r>
              <w:rPr>
                <w:rFonts w:ascii="Aptos" w:hAnsi="Aptos"/>
                <w:b/>
                <w:color w:val="548235"/>
                <w:sz w:val="14"/>
              </w:rPr>
              <w:t>Verified ICLR</w:t>
              <w:br/>
            </w:r>
            <w:hyperlink r:id="rId13">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shd w:fill="F4F7FA"/>
          </w:tcPr>
          <w:p>
            <w:pPr>
              <w:spacing w:after="0"/>
            </w:pPr>
            <w:r>
              <w:rPr>
                <w:rFonts w:ascii="Aptos" w:hAnsi="Aptos"/>
                <w:b/>
                <w:color w:val="17365D"/>
                <w:sz w:val="15"/>
              </w:rPr>
              <w:t>Park et al. (2025)</w:t>
              <w:br/>
              <w:t>Community Forensics</w:t>
            </w:r>
          </w:p>
        </w:tc>
        <w:tc>
          <w:tcPr>
            <w:tcW w:type="dxa" w:w="3413"/>
            <w:vAlign w:val="top"/>
            <w:tcMar>
              <w:top w:w="65" w:type="dxa"/>
              <w:start w:w="75" w:type="dxa"/>
              <w:bottom w:w="65" w:type="dxa"/>
              <w:end w:w="75" w:type="dxa"/>
            </w:tcMar>
            <w:shd w:fill="F4F7FA"/>
          </w:tcPr>
          <w:p>
            <w:pPr>
              <w:spacing w:after="0"/>
            </w:pPr>
            <w:r>
              <w:rPr>
                <w:rFonts w:ascii="Aptos" w:hAnsi="Aptos"/>
                <w:b w:val="0"/>
                <w:color w:val="1F2933"/>
                <w:sz w:val="15"/>
              </w:rPr>
              <w:t>Uses a large generator community to strengthen generalization and detector coverage.</w:t>
            </w:r>
          </w:p>
        </w:tc>
        <w:tc>
          <w:tcPr>
            <w:tcW w:type="dxa" w:w="2333"/>
            <w:vAlign w:val="top"/>
            <w:tcMar>
              <w:top w:w="65" w:type="dxa"/>
              <w:start w:w="75" w:type="dxa"/>
              <w:bottom w:w="65" w:type="dxa"/>
              <w:end w:w="75" w:type="dxa"/>
            </w:tcMar>
            <w:shd w:fill="F4F7FA"/>
          </w:tcPr>
          <w:p>
            <w:pPr>
              <w:spacing w:after="0"/>
            </w:pPr>
            <w:r>
              <w:rPr>
                <w:rFonts w:ascii="Aptos" w:hAnsi="Aptos"/>
                <w:b w:val="0"/>
                <w:color w:val="1F2933"/>
                <w:sz w:val="15"/>
              </w:rPr>
              <w:t>Not limited to text-containing images or interpretable regional measurements.</w:t>
            </w:r>
          </w:p>
        </w:tc>
        <w:tc>
          <w:tcPr>
            <w:tcW w:type="dxa" w:w="1584"/>
            <w:vAlign w:val="top"/>
            <w:tcMar>
              <w:top w:w="65" w:type="dxa"/>
              <w:start w:w="75" w:type="dxa"/>
              <w:bottom w:w="65" w:type="dxa"/>
              <w:end w:w="75" w:type="dxa"/>
            </w:tcMar>
            <w:shd w:fill="F4F7FA"/>
          </w:tcPr>
          <w:p>
            <w:pPr>
              <w:spacing w:after="0"/>
            </w:pPr>
            <w:r>
              <w:rPr>
                <w:rFonts w:ascii="Aptos" w:hAnsi="Aptos"/>
                <w:b/>
                <w:color w:val="548235"/>
                <w:sz w:val="14"/>
              </w:rPr>
              <w:t>Verified CVPR</w:t>
              <w:br/>
            </w:r>
            <w:hyperlink r:id="rId14">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Gye et al. (2025)</w:t>
              <w:br/>
              <w:t>SFLD and TwinSynths</w:t>
            </w:r>
          </w:p>
        </w:tc>
        <w:tc>
          <w:tcPr>
            <w:tcW w:type="dxa" w:w="3413"/>
            <w:vAlign w:val="top"/>
            <w:tcMar>
              <w:top w:w="65" w:type="dxa"/>
              <w:start w:w="75" w:type="dxa"/>
              <w:bottom w:w="65" w:type="dxa"/>
              <w:end w:w="75" w:type="dxa"/>
            </w:tcMar>
          </w:tcPr>
          <w:p>
            <w:pPr>
              <w:spacing w:after="0"/>
            </w:pPr>
            <w:r>
              <w:rPr>
                <w:rFonts w:ascii="Aptos" w:hAnsi="Aptos"/>
                <w:b w:val="0"/>
                <w:color w:val="1F2933"/>
                <w:sz w:val="15"/>
              </w:rPr>
              <w:t>Addresses content bias, unseen generators, and degradation robustness; proposes paired real and synthetic evaluation.</w:t>
            </w:r>
          </w:p>
        </w:tc>
        <w:tc>
          <w:tcPr>
            <w:tcW w:type="dxa" w:w="2333"/>
            <w:vAlign w:val="top"/>
            <w:tcMar>
              <w:top w:w="65" w:type="dxa"/>
              <w:start w:w="75" w:type="dxa"/>
              <w:bottom w:w="65" w:type="dxa"/>
              <w:end w:w="75" w:type="dxa"/>
            </w:tcMar>
          </w:tcPr>
          <w:p>
            <w:pPr>
              <w:spacing w:after="0"/>
            </w:pPr>
            <w:r>
              <w:rPr>
                <w:rFonts w:ascii="Aptos" w:hAnsi="Aptos"/>
                <w:b w:val="0"/>
                <w:color w:val="1F2933"/>
                <w:sz w:val="15"/>
              </w:rPr>
              <w:t>Uses CLIP and patch shuffling rather than handcrafted text-region features.</w:t>
            </w:r>
          </w:p>
        </w:tc>
        <w:tc>
          <w:tcPr>
            <w:tcW w:type="dxa" w:w="1584"/>
            <w:vAlign w:val="top"/>
            <w:tcMar>
              <w:top w:w="65" w:type="dxa"/>
              <w:start w:w="75" w:type="dxa"/>
              <w:bottom w:w="65" w:type="dxa"/>
              <w:end w:w="75" w:type="dxa"/>
            </w:tcMar>
          </w:tcPr>
          <w:p>
            <w:pPr>
              <w:spacing w:after="0"/>
            </w:pPr>
            <w:r>
              <w:rPr>
                <w:rFonts w:ascii="Aptos" w:hAnsi="Aptos"/>
                <w:b/>
                <w:color w:val="548235"/>
                <w:sz w:val="14"/>
              </w:rPr>
              <w:t>Verified WACV</w:t>
              <w:br/>
            </w:r>
            <w:hyperlink r:id="rId15">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shd w:fill="F4F7FA"/>
          </w:tcPr>
          <w:p>
            <w:pPr>
              <w:spacing w:after="0"/>
            </w:pPr>
            <w:r>
              <w:rPr>
                <w:rFonts w:ascii="Aptos" w:hAnsi="Aptos"/>
                <w:b/>
                <w:color w:val="17365D"/>
                <w:sz w:val="15"/>
              </w:rPr>
              <w:t>Li et al. (2025)</w:t>
              <w:br/>
              <w:t>RRDataset and RRBench</w:t>
            </w:r>
          </w:p>
        </w:tc>
        <w:tc>
          <w:tcPr>
            <w:tcW w:type="dxa" w:w="3413"/>
            <w:vAlign w:val="top"/>
            <w:tcMar>
              <w:top w:w="65" w:type="dxa"/>
              <w:start w:w="75" w:type="dxa"/>
              <w:bottom w:w="65" w:type="dxa"/>
              <w:end w:w="75" w:type="dxa"/>
            </w:tcMar>
            <w:shd w:fill="F4F7FA"/>
          </w:tcPr>
          <w:p>
            <w:pPr>
              <w:spacing w:after="0"/>
            </w:pPr>
            <w:r>
              <w:rPr>
                <w:rFonts w:ascii="Aptos" w:hAnsi="Aptos"/>
                <w:b w:val="0"/>
                <w:color w:val="1F2933"/>
                <w:sz w:val="15"/>
              </w:rPr>
              <w:t>Frames the gap between ideal and real-world AI-image detection evaluation.</w:t>
            </w:r>
          </w:p>
        </w:tc>
        <w:tc>
          <w:tcPr>
            <w:tcW w:type="dxa" w:w="2333"/>
            <w:vAlign w:val="top"/>
            <w:tcMar>
              <w:top w:w="65" w:type="dxa"/>
              <w:start w:w="75" w:type="dxa"/>
              <w:bottom w:w="65" w:type="dxa"/>
              <w:end w:w="75" w:type="dxa"/>
            </w:tcMar>
            <w:shd w:fill="F4F7FA"/>
          </w:tcPr>
          <w:p>
            <w:pPr>
              <w:spacing w:after="0"/>
            </w:pPr>
            <w:r>
              <w:rPr>
                <w:rFonts w:ascii="Aptos" w:hAnsi="Aptos"/>
                <w:b w:val="0"/>
                <w:color w:val="1F2933"/>
                <w:sz w:val="15"/>
              </w:rPr>
              <w:t>Final author list and bibliographic pagination should be checked before APA formatting.</w:t>
            </w:r>
          </w:p>
        </w:tc>
        <w:tc>
          <w:tcPr>
            <w:tcW w:type="dxa" w:w="1584"/>
            <w:vAlign w:val="top"/>
            <w:tcMar>
              <w:top w:w="65" w:type="dxa"/>
              <w:start w:w="75" w:type="dxa"/>
              <w:bottom w:w="65" w:type="dxa"/>
              <w:end w:w="75" w:type="dxa"/>
            </w:tcMar>
            <w:shd w:fill="F4F7FA"/>
          </w:tcPr>
          <w:p>
            <w:pPr>
              <w:spacing w:after="0"/>
            </w:pPr>
            <w:r>
              <w:rPr>
                <w:rFonts w:ascii="Aptos" w:hAnsi="Aptos"/>
                <w:b/>
                <w:color w:val="BF9000"/>
                <w:sz w:val="14"/>
              </w:rPr>
              <w:t>Published; APA details to verify</w:t>
              <w:br/>
            </w:r>
            <w:hyperlink r:id="rId16">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Bird and Lotfi (2024)</w:t>
              <w:br/>
              <w:t>CIFAKE</w:t>
            </w:r>
          </w:p>
        </w:tc>
        <w:tc>
          <w:tcPr>
            <w:tcW w:type="dxa" w:w="3413"/>
            <w:vAlign w:val="top"/>
            <w:tcMar>
              <w:top w:w="65" w:type="dxa"/>
              <w:start w:w="75" w:type="dxa"/>
              <w:bottom w:w="65" w:type="dxa"/>
              <w:end w:w="75" w:type="dxa"/>
            </w:tcMar>
          </w:tcPr>
          <w:p>
            <w:pPr>
              <w:spacing w:after="0"/>
            </w:pPr>
            <w:r>
              <w:rPr>
                <w:rFonts w:ascii="Aptos" w:hAnsi="Aptos"/>
                <w:b w:val="0"/>
                <w:color w:val="1F2933"/>
                <w:sz w:val="15"/>
              </w:rPr>
              <w:t>Provides a public real-versus-synthetic benchmark and explainability context.</w:t>
            </w:r>
          </w:p>
        </w:tc>
        <w:tc>
          <w:tcPr>
            <w:tcW w:type="dxa" w:w="2333"/>
            <w:vAlign w:val="top"/>
            <w:tcMar>
              <w:top w:w="65" w:type="dxa"/>
              <w:start w:w="75" w:type="dxa"/>
              <w:bottom w:w="65" w:type="dxa"/>
              <w:end w:w="75" w:type="dxa"/>
            </w:tcMar>
          </w:tcPr>
          <w:p>
            <w:pPr>
              <w:spacing w:after="0"/>
            </w:pPr>
            <w:r>
              <w:rPr>
                <w:rFonts w:ascii="Aptos" w:hAnsi="Aptos"/>
                <w:b w:val="0"/>
                <w:color w:val="1F2933"/>
                <w:sz w:val="15"/>
              </w:rPr>
              <w:t>Small natural-image classes and CNN method; not a text-rich benchmark.</w:t>
            </w:r>
          </w:p>
        </w:tc>
        <w:tc>
          <w:tcPr>
            <w:tcW w:type="dxa" w:w="1584"/>
            <w:vAlign w:val="top"/>
            <w:tcMar>
              <w:top w:w="65" w:type="dxa"/>
              <w:start w:w="75" w:type="dxa"/>
              <w:bottom w:w="65" w:type="dxa"/>
              <w:end w:w="75" w:type="dxa"/>
            </w:tcMar>
          </w:tcPr>
          <w:p>
            <w:pPr>
              <w:spacing w:after="0"/>
            </w:pPr>
            <w:r>
              <w:rPr>
                <w:rFonts w:ascii="Aptos" w:hAnsi="Aptos"/>
                <w:b/>
                <w:color w:val="BF9000"/>
                <w:sz w:val="14"/>
              </w:rPr>
              <w:t>Published; APA details to verify</w:t>
              <w:br/>
            </w:r>
            <w:hyperlink r:id="rId17">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shd w:fill="F4F7FA"/>
          </w:tcPr>
          <w:p>
            <w:pPr>
              <w:spacing w:after="0"/>
            </w:pPr>
            <w:r>
              <w:rPr>
                <w:rFonts w:ascii="Aptos" w:hAnsi="Aptos"/>
                <w:b/>
                <w:color w:val="17365D"/>
                <w:sz w:val="15"/>
              </w:rPr>
              <w:t>Zhang et al. (2026)</w:t>
              <w:br/>
              <w:t>TextFake</w:t>
            </w:r>
          </w:p>
        </w:tc>
        <w:tc>
          <w:tcPr>
            <w:tcW w:type="dxa" w:w="3413"/>
            <w:vAlign w:val="top"/>
            <w:tcMar>
              <w:top w:w="65" w:type="dxa"/>
              <w:start w:w="75" w:type="dxa"/>
              <w:bottom w:w="65" w:type="dxa"/>
              <w:end w:w="75" w:type="dxa"/>
            </w:tcMar>
            <w:shd w:fill="F4F7FA"/>
          </w:tcPr>
          <w:p>
            <w:pPr>
              <w:spacing w:after="0"/>
            </w:pPr>
            <w:r>
              <w:rPr>
                <w:rFonts w:ascii="Aptos" w:hAnsi="Aptos"/>
                <w:b w:val="0"/>
                <w:color w:val="1F2933"/>
                <w:sz w:val="15"/>
              </w:rPr>
              <w:t>Most direct domain source: text-rich benchmark, density effects, screen and paper scenes, rendering fidelity, and perturbation sensitivity.</w:t>
            </w:r>
          </w:p>
        </w:tc>
        <w:tc>
          <w:tcPr>
            <w:tcW w:type="dxa" w:w="2333"/>
            <w:vAlign w:val="top"/>
            <w:tcMar>
              <w:top w:w="65" w:type="dxa"/>
              <w:start w:w="75" w:type="dxa"/>
              <w:bottom w:w="65" w:type="dxa"/>
              <w:end w:w="75" w:type="dxa"/>
            </w:tcMar>
            <w:shd w:fill="F4F7FA"/>
          </w:tcPr>
          <w:p>
            <w:pPr>
              <w:spacing w:after="0"/>
            </w:pPr>
            <w:r>
              <w:rPr>
                <w:rFonts w:ascii="Aptos" w:hAnsi="Aptos"/>
                <w:b w:val="0"/>
                <w:color w:val="1F2933"/>
                <w:sz w:val="15"/>
              </w:rPr>
              <w:t>arXiv v1 dated 31 May 2026. Do not call peer-reviewed. Does not implement the proposed traditional text-region feature pipeline.</w:t>
            </w:r>
          </w:p>
        </w:tc>
        <w:tc>
          <w:tcPr>
            <w:tcW w:type="dxa" w:w="1584"/>
            <w:vAlign w:val="top"/>
            <w:tcMar>
              <w:top w:w="65" w:type="dxa"/>
              <w:start w:w="75" w:type="dxa"/>
              <w:bottom w:w="65" w:type="dxa"/>
              <w:end w:w="75" w:type="dxa"/>
            </w:tcMar>
            <w:shd w:fill="F4F7FA"/>
          </w:tcPr>
          <w:p>
            <w:pPr>
              <w:spacing w:after="0"/>
            </w:pPr>
            <w:r>
              <w:rPr>
                <w:rFonts w:ascii="Aptos" w:hAnsi="Aptos"/>
                <w:b/>
                <w:color w:val="C65911"/>
                <w:sz w:val="14"/>
              </w:rPr>
              <w:t>Preprint only</w:t>
              <w:br/>
            </w:r>
            <w:hyperlink r:id="rId18">
              <w:r>
                <w:rPr>
                  <w:color w:val="2F75B5"/>
                  <w:u w:val="single"/>
                  <w:rFonts w:ascii="Aptos" w:hAnsi="Aptos"/>
                  <w:sz w:val="18"/>
                </w:rPr>
                <w:t>Open source</w:t>
              </w:r>
            </w:hyperlink>
          </w:p>
        </w:tc>
      </w:tr>
    </w:tbl>
    <w:p>
      <w:pPr>
        <w:spacing w:after="0"/>
      </w:pPr>
    </w:p>
    <w:p>
      <w:pPr>
        <w:pStyle w:val="Heading2"/>
        <w:keepNext/>
      </w:pPr>
      <w:r>
        <w:t>7.2 Text localization and character-centered measurement</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261"/>
            <w:shd w:fill="17365D"/>
            <w:tcMar>
              <w:top w:w="70" w:type="dxa"/>
              <w:start w:w="80" w:type="dxa"/>
              <w:bottom w:w="70" w:type="dxa"/>
              <w:end w:w="80" w:type="dxa"/>
            </w:tcMar>
            <w:vAlign w:val="center"/>
          </w:tcPr>
          <w:p>
            <w:pPr>
              <w:jc w:val="left"/>
            </w:pPr>
            <w:r>
              <w:rPr>
                <w:rFonts w:ascii="Aptos" w:hAnsi="Aptos"/>
                <w:b/>
                <w:color w:val="FFFFFF"/>
                <w:sz w:val="16"/>
              </w:rPr>
              <w:t>Source</w:t>
            </w:r>
          </w:p>
        </w:tc>
        <w:tc>
          <w:tcPr>
            <w:tcW w:type="dxa" w:w="3413"/>
            <w:shd w:fill="17365D"/>
            <w:tcMar>
              <w:top w:w="70" w:type="dxa"/>
              <w:start w:w="80" w:type="dxa"/>
              <w:bottom w:w="70" w:type="dxa"/>
              <w:end w:w="80" w:type="dxa"/>
            </w:tcMar>
            <w:vAlign w:val="center"/>
          </w:tcPr>
          <w:p>
            <w:pPr>
              <w:jc w:val="left"/>
            </w:pPr>
            <w:r>
              <w:rPr>
                <w:rFonts w:ascii="Aptos" w:hAnsi="Aptos"/>
                <w:b/>
                <w:color w:val="FFFFFF"/>
                <w:sz w:val="16"/>
              </w:rPr>
              <w:t>Evidence and planned use</w:t>
            </w:r>
          </w:p>
        </w:tc>
        <w:tc>
          <w:tcPr>
            <w:tcW w:type="dxa" w:w="2333"/>
            <w:shd w:fill="17365D"/>
            <w:tcMar>
              <w:top w:w="70" w:type="dxa"/>
              <w:start w:w="80" w:type="dxa"/>
              <w:bottom w:w="70" w:type="dxa"/>
              <w:end w:w="80" w:type="dxa"/>
            </w:tcMar>
            <w:vAlign w:val="center"/>
          </w:tcPr>
          <w:p>
            <w:pPr>
              <w:jc w:val="left"/>
            </w:pPr>
            <w:r>
              <w:rPr>
                <w:rFonts w:ascii="Aptos" w:hAnsi="Aptos"/>
                <w:b/>
                <w:color w:val="FFFFFF"/>
                <w:sz w:val="16"/>
              </w:rPr>
              <w:t>Boundary or caution</w:t>
            </w:r>
          </w:p>
        </w:tc>
        <w:tc>
          <w:tcPr>
            <w:tcW w:type="dxa" w:w="1584"/>
            <w:shd w:fill="17365D"/>
            <w:tcMar>
              <w:top w:w="70" w:type="dxa"/>
              <w:start w:w="80" w:type="dxa"/>
              <w:bottom w:w="70" w:type="dxa"/>
              <w:end w:w="80" w:type="dxa"/>
            </w:tcMar>
            <w:vAlign w:val="center"/>
          </w:tcPr>
          <w:p>
            <w:pPr>
              <w:jc w:val="left"/>
            </w:pPr>
            <w:r>
              <w:rPr>
                <w:rFonts w:ascii="Aptos" w:hAnsi="Aptos"/>
                <w:b/>
                <w:color w:val="FFFFFF"/>
                <w:sz w:val="16"/>
              </w:rPr>
              <w:t>Status and link</w:t>
            </w:r>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Liao et al. (2022)</w:t>
              <w:br/>
              <w:t>DBNet++</w:t>
            </w:r>
          </w:p>
        </w:tc>
        <w:tc>
          <w:tcPr>
            <w:tcW w:type="dxa" w:w="3413"/>
            <w:vAlign w:val="top"/>
            <w:tcMar>
              <w:top w:w="65" w:type="dxa"/>
              <w:start w:w="75" w:type="dxa"/>
              <w:bottom w:w="65" w:type="dxa"/>
              <w:end w:w="75" w:type="dxa"/>
            </w:tcMar>
          </w:tcPr>
          <w:p>
            <w:pPr>
              <w:spacing w:after="0"/>
            </w:pPr>
            <w:r>
              <w:rPr>
                <w:rFonts w:ascii="Aptos" w:hAnsi="Aptos"/>
                <w:b w:val="0"/>
                <w:color w:val="1F2933"/>
                <w:sz w:val="15"/>
              </w:rPr>
              <w:t>Supports robust and efficient scene-text localization through differentiable binarization and adaptive feature fusion.</w:t>
            </w:r>
          </w:p>
        </w:tc>
        <w:tc>
          <w:tcPr>
            <w:tcW w:type="dxa" w:w="2333"/>
            <w:vAlign w:val="top"/>
            <w:tcMar>
              <w:top w:w="65" w:type="dxa"/>
              <w:start w:w="75" w:type="dxa"/>
              <w:bottom w:w="65" w:type="dxa"/>
              <w:end w:w="75" w:type="dxa"/>
            </w:tcMar>
          </w:tcPr>
          <w:p>
            <w:pPr>
              <w:spacing w:after="0"/>
            </w:pPr>
            <w:r>
              <w:rPr>
                <w:rFonts w:ascii="Aptos" w:hAnsi="Aptos"/>
                <w:b w:val="0"/>
                <w:color w:val="1F2933"/>
                <w:sz w:val="15"/>
              </w:rPr>
              <w:t>Localization method only; no authenticity decision.</w:t>
            </w:r>
          </w:p>
        </w:tc>
        <w:tc>
          <w:tcPr>
            <w:tcW w:type="dxa" w:w="1584"/>
            <w:vAlign w:val="top"/>
            <w:tcMar>
              <w:top w:w="65" w:type="dxa"/>
              <w:start w:w="75" w:type="dxa"/>
              <w:bottom w:w="65" w:type="dxa"/>
              <w:end w:w="75" w:type="dxa"/>
            </w:tcMar>
          </w:tcPr>
          <w:p>
            <w:pPr>
              <w:spacing w:after="0"/>
            </w:pPr>
            <w:r>
              <w:rPr>
                <w:rFonts w:ascii="Aptos" w:hAnsi="Aptos"/>
                <w:b/>
                <w:color w:val="548235"/>
                <w:sz w:val="14"/>
              </w:rPr>
              <w:t>Verified publisher</w:t>
              <w:br/>
            </w:r>
            <w:hyperlink r:id="rId19">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shd w:fill="F4F7FA"/>
          </w:tcPr>
          <w:p>
            <w:pPr>
              <w:spacing w:after="0"/>
            </w:pPr>
            <w:r>
              <w:rPr>
                <w:rFonts w:ascii="Aptos" w:hAnsi="Aptos"/>
                <w:b/>
                <w:color w:val="17365D"/>
                <w:sz w:val="15"/>
              </w:rPr>
              <w:t>Zhang et al. (2021)</w:t>
              <w:br/>
              <w:t>ABPN</w:t>
            </w:r>
          </w:p>
        </w:tc>
        <w:tc>
          <w:tcPr>
            <w:tcW w:type="dxa" w:w="3413"/>
            <w:vAlign w:val="top"/>
            <w:tcMar>
              <w:top w:w="65" w:type="dxa"/>
              <w:start w:w="75" w:type="dxa"/>
              <w:bottom w:w="65" w:type="dxa"/>
              <w:end w:w="75" w:type="dxa"/>
            </w:tcMar>
            <w:shd w:fill="F4F7FA"/>
          </w:tcPr>
          <w:p>
            <w:pPr>
              <w:spacing w:after="0"/>
            </w:pPr>
            <w:r>
              <w:rPr>
                <w:rFonts w:ascii="Aptos" w:hAnsi="Aptos"/>
                <w:b w:val="0"/>
                <w:color w:val="1F2933"/>
                <w:sz w:val="15"/>
              </w:rPr>
              <w:t>Supports arbitrary-shape text detection and refined boundary localization.</w:t>
            </w:r>
          </w:p>
        </w:tc>
        <w:tc>
          <w:tcPr>
            <w:tcW w:type="dxa" w:w="2333"/>
            <w:vAlign w:val="top"/>
            <w:tcMar>
              <w:top w:w="65" w:type="dxa"/>
              <w:start w:w="75" w:type="dxa"/>
              <w:bottom w:w="65" w:type="dxa"/>
              <w:end w:w="75" w:type="dxa"/>
            </w:tcMar>
            <w:shd w:fill="F4F7FA"/>
          </w:tcPr>
          <w:p>
            <w:pPr>
              <w:spacing w:after="0"/>
            </w:pPr>
            <w:r>
              <w:rPr>
                <w:rFonts w:ascii="Aptos" w:hAnsi="Aptos"/>
                <w:b w:val="0"/>
                <w:color w:val="1F2933"/>
                <w:sz w:val="15"/>
              </w:rPr>
              <w:t>Localization method only; may be more complex than needed for a baseline pipeline.</w:t>
            </w:r>
          </w:p>
        </w:tc>
        <w:tc>
          <w:tcPr>
            <w:tcW w:type="dxa" w:w="1584"/>
            <w:vAlign w:val="top"/>
            <w:tcMar>
              <w:top w:w="65" w:type="dxa"/>
              <w:start w:w="75" w:type="dxa"/>
              <w:bottom w:w="65" w:type="dxa"/>
              <w:end w:w="75" w:type="dxa"/>
            </w:tcMar>
            <w:shd w:fill="F4F7FA"/>
          </w:tcPr>
          <w:p>
            <w:pPr>
              <w:spacing w:after="0"/>
            </w:pPr>
            <w:r>
              <w:rPr>
                <w:rFonts w:ascii="Aptos" w:hAnsi="Aptos"/>
                <w:b/>
                <w:color w:val="548235"/>
                <w:sz w:val="14"/>
              </w:rPr>
              <w:t>Verified ICCV</w:t>
              <w:br/>
            </w:r>
            <w:hyperlink r:id="rId20">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Baek et al. (2019)</w:t>
              <w:br/>
              <w:t>CRAFT</w:t>
            </w:r>
          </w:p>
        </w:tc>
        <w:tc>
          <w:tcPr>
            <w:tcW w:type="dxa" w:w="3413"/>
            <w:vAlign w:val="top"/>
            <w:tcMar>
              <w:top w:w="65" w:type="dxa"/>
              <w:start w:w="75" w:type="dxa"/>
              <w:bottom w:w="65" w:type="dxa"/>
              <w:end w:w="75" w:type="dxa"/>
            </w:tcMar>
          </w:tcPr>
          <w:p>
            <w:pPr>
              <w:spacing w:after="0"/>
            </w:pPr>
            <w:r>
              <w:rPr>
                <w:rFonts w:ascii="Aptos" w:hAnsi="Aptos"/>
                <w:b w:val="0"/>
                <w:color w:val="1F2933"/>
                <w:sz w:val="15"/>
              </w:rPr>
              <w:t>Character-region and affinity modeling supports fine-grained text-region extraction.</w:t>
            </w:r>
          </w:p>
        </w:tc>
        <w:tc>
          <w:tcPr>
            <w:tcW w:type="dxa" w:w="2333"/>
            <w:vAlign w:val="top"/>
            <w:tcMar>
              <w:top w:w="65" w:type="dxa"/>
              <w:start w:w="75" w:type="dxa"/>
              <w:bottom w:w="65" w:type="dxa"/>
              <w:end w:w="75" w:type="dxa"/>
            </w:tcMar>
          </w:tcPr>
          <w:p>
            <w:pPr>
              <w:spacing w:after="0"/>
            </w:pPr>
            <w:r>
              <w:rPr>
                <w:rFonts w:ascii="Aptos" w:hAnsi="Aptos"/>
                <w:b w:val="0"/>
                <w:color w:val="1F2933"/>
                <w:sz w:val="15"/>
              </w:rPr>
              <w:t>Older but foundational; localization is not classification.</w:t>
            </w:r>
          </w:p>
        </w:tc>
        <w:tc>
          <w:tcPr>
            <w:tcW w:type="dxa" w:w="1584"/>
            <w:vAlign w:val="top"/>
            <w:tcMar>
              <w:top w:w="65" w:type="dxa"/>
              <w:start w:w="75" w:type="dxa"/>
              <w:bottom w:w="65" w:type="dxa"/>
              <w:end w:w="75" w:type="dxa"/>
            </w:tcMar>
          </w:tcPr>
          <w:p>
            <w:pPr>
              <w:spacing w:after="0"/>
            </w:pPr>
            <w:r>
              <w:rPr>
                <w:rFonts w:ascii="Aptos" w:hAnsi="Aptos"/>
                <w:b/>
                <w:color w:val="548235"/>
                <w:sz w:val="14"/>
              </w:rPr>
              <w:t>Verified CVPR</w:t>
              <w:br/>
            </w:r>
            <w:hyperlink r:id="rId21">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shd w:fill="F4F7FA"/>
          </w:tcPr>
          <w:p>
            <w:pPr>
              <w:spacing w:after="0"/>
            </w:pPr>
            <w:r>
              <w:rPr>
                <w:rFonts w:ascii="Aptos" w:hAnsi="Aptos"/>
                <w:b/>
                <w:color w:val="17365D"/>
                <w:sz w:val="15"/>
              </w:rPr>
              <w:t>Epshtein et al. (2010)</w:t>
              <w:br/>
              <w:t>Stroke Width Transform</w:t>
            </w:r>
          </w:p>
        </w:tc>
        <w:tc>
          <w:tcPr>
            <w:tcW w:type="dxa" w:w="3413"/>
            <w:vAlign w:val="top"/>
            <w:tcMar>
              <w:top w:w="65" w:type="dxa"/>
              <w:start w:w="75" w:type="dxa"/>
              <w:bottom w:w="65" w:type="dxa"/>
              <w:end w:w="75" w:type="dxa"/>
            </w:tcMar>
            <w:shd w:fill="F4F7FA"/>
          </w:tcPr>
          <w:p>
            <w:pPr>
              <w:spacing w:after="0"/>
            </w:pPr>
            <w:r>
              <w:rPr>
                <w:rFonts w:ascii="Aptos" w:hAnsi="Aptos"/>
                <w:b w:val="0"/>
                <w:color w:val="1F2933"/>
                <w:sz w:val="15"/>
              </w:rPr>
              <w:t>Foundational support for measuring near-constant stroke width and detecting text-like components.</w:t>
            </w:r>
          </w:p>
        </w:tc>
        <w:tc>
          <w:tcPr>
            <w:tcW w:type="dxa" w:w="2333"/>
            <w:vAlign w:val="top"/>
            <w:tcMar>
              <w:top w:w="65" w:type="dxa"/>
              <w:start w:w="75" w:type="dxa"/>
              <w:bottom w:w="65" w:type="dxa"/>
              <w:end w:w="75" w:type="dxa"/>
            </w:tcMar>
            <w:shd w:fill="F4F7FA"/>
          </w:tcPr>
          <w:p>
            <w:pPr>
              <w:spacing w:after="0"/>
            </w:pPr>
            <w:r>
              <w:rPr>
                <w:rFonts w:ascii="Aptos" w:hAnsi="Aptos"/>
                <w:b w:val="0"/>
                <w:color w:val="1F2933"/>
                <w:sz w:val="15"/>
              </w:rPr>
              <w:t>Older and designed for text detection, not synthetic-image forensics.</w:t>
            </w:r>
          </w:p>
        </w:tc>
        <w:tc>
          <w:tcPr>
            <w:tcW w:type="dxa" w:w="1584"/>
            <w:vAlign w:val="top"/>
            <w:tcMar>
              <w:top w:w="65" w:type="dxa"/>
              <w:start w:w="75" w:type="dxa"/>
              <w:bottom w:w="65" w:type="dxa"/>
              <w:end w:w="75" w:type="dxa"/>
            </w:tcMar>
            <w:shd w:fill="F4F7FA"/>
          </w:tcPr>
          <w:p>
            <w:pPr>
              <w:spacing w:after="0"/>
            </w:pPr>
            <w:r>
              <w:rPr>
                <w:rFonts w:ascii="Aptos" w:hAnsi="Aptos"/>
                <w:b/>
                <w:color w:val="548235"/>
                <w:sz w:val="14"/>
              </w:rPr>
              <w:t>Verified CVPR</w:t>
              <w:br/>
            </w:r>
            <w:hyperlink r:id="rId22">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Li et al. (2018)</w:t>
              <w:br/>
              <w:t>CG-DIQA</w:t>
            </w:r>
          </w:p>
        </w:tc>
        <w:tc>
          <w:tcPr>
            <w:tcW w:type="dxa" w:w="3413"/>
            <w:vAlign w:val="top"/>
            <w:tcMar>
              <w:top w:w="65" w:type="dxa"/>
              <w:start w:w="75" w:type="dxa"/>
              <w:bottom w:w="65" w:type="dxa"/>
              <w:end w:w="75" w:type="dxa"/>
            </w:tcMar>
          </w:tcPr>
          <w:p>
            <w:pPr>
              <w:spacing w:after="0"/>
            </w:pPr>
            <w:r>
              <w:rPr>
                <w:rFonts w:ascii="Aptos" w:hAnsi="Aptos"/>
                <w:b w:val="0"/>
                <w:color w:val="1F2933"/>
                <w:sz w:val="15"/>
              </w:rPr>
              <w:t>Character-centered patches motivate edge, sharpness, contrast, and character-quality measurements.</w:t>
            </w:r>
          </w:p>
        </w:tc>
        <w:tc>
          <w:tcPr>
            <w:tcW w:type="dxa" w:w="2333"/>
            <w:vAlign w:val="top"/>
            <w:tcMar>
              <w:top w:w="65" w:type="dxa"/>
              <w:start w:w="75" w:type="dxa"/>
              <w:bottom w:w="65" w:type="dxa"/>
              <w:end w:w="75" w:type="dxa"/>
            </w:tcMar>
          </w:tcPr>
          <w:p>
            <w:pPr>
              <w:spacing w:after="0"/>
            </w:pPr>
            <w:r>
              <w:rPr>
                <w:rFonts w:ascii="Aptos" w:hAnsi="Aptos"/>
                <w:b w:val="0"/>
                <w:color w:val="1F2933"/>
                <w:sz w:val="15"/>
              </w:rPr>
              <w:t>Document image quality assessment, not AI-generated image detection.</w:t>
            </w:r>
          </w:p>
        </w:tc>
        <w:tc>
          <w:tcPr>
            <w:tcW w:type="dxa" w:w="1584"/>
            <w:vAlign w:val="top"/>
            <w:tcMar>
              <w:top w:w="65" w:type="dxa"/>
              <w:start w:w="75" w:type="dxa"/>
              <w:bottom w:w="65" w:type="dxa"/>
              <w:end w:w="75" w:type="dxa"/>
            </w:tcMar>
          </w:tcPr>
          <w:p>
            <w:pPr>
              <w:spacing w:after="0"/>
            </w:pPr>
            <w:r>
              <w:rPr>
                <w:rFonts w:ascii="Aptos" w:hAnsi="Aptos"/>
                <w:b/>
                <w:color w:val="548235"/>
                <w:sz w:val="14"/>
              </w:rPr>
              <w:t>Verified ICPR</w:t>
              <w:br/>
            </w:r>
            <w:hyperlink r:id="rId23">
              <w:r>
                <w:rPr>
                  <w:color w:val="2F75B5"/>
                  <w:u w:val="single"/>
                  <w:rFonts w:ascii="Aptos" w:hAnsi="Aptos"/>
                  <w:sz w:val="18"/>
                </w:rPr>
                <w:t>Open source</w:t>
              </w:r>
            </w:hyperlink>
          </w:p>
        </w:tc>
      </w:tr>
    </w:tbl>
    <w:p>
      <w:pPr>
        <w:spacing w:after="0"/>
      </w:pPr>
    </w:p>
    <w:p>
      <w:pPr>
        <w:pStyle w:val="Heading2"/>
        <w:keepNext/>
      </w:pPr>
      <w:r>
        <w:t>7.3 Local artifacts, gradients, texture, and reconstruction</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261"/>
            <w:shd w:fill="17365D"/>
            <w:tcMar>
              <w:top w:w="70" w:type="dxa"/>
              <w:start w:w="80" w:type="dxa"/>
              <w:bottom w:w="70" w:type="dxa"/>
              <w:end w:w="80" w:type="dxa"/>
            </w:tcMar>
            <w:vAlign w:val="center"/>
          </w:tcPr>
          <w:p>
            <w:pPr>
              <w:jc w:val="left"/>
            </w:pPr>
            <w:r>
              <w:rPr>
                <w:rFonts w:ascii="Aptos" w:hAnsi="Aptos"/>
                <w:b/>
                <w:color w:val="FFFFFF"/>
                <w:sz w:val="16"/>
              </w:rPr>
              <w:t>Source</w:t>
            </w:r>
          </w:p>
        </w:tc>
        <w:tc>
          <w:tcPr>
            <w:tcW w:type="dxa" w:w="3413"/>
            <w:shd w:fill="17365D"/>
            <w:tcMar>
              <w:top w:w="70" w:type="dxa"/>
              <w:start w:w="80" w:type="dxa"/>
              <w:bottom w:w="70" w:type="dxa"/>
              <w:end w:w="80" w:type="dxa"/>
            </w:tcMar>
            <w:vAlign w:val="center"/>
          </w:tcPr>
          <w:p>
            <w:pPr>
              <w:jc w:val="left"/>
            </w:pPr>
            <w:r>
              <w:rPr>
                <w:rFonts w:ascii="Aptos" w:hAnsi="Aptos"/>
                <w:b/>
                <w:color w:val="FFFFFF"/>
                <w:sz w:val="16"/>
              </w:rPr>
              <w:t>Evidence and planned use</w:t>
            </w:r>
          </w:p>
        </w:tc>
        <w:tc>
          <w:tcPr>
            <w:tcW w:type="dxa" w:w="2333"/>
            <w:shd w:fill="17365D"/>
            <w:tcMar>
              <w:top w:w="70" w:type="dxa"/>
              <w:start w:w="80" w:type="dxa"/>
              <w:bottom w:w="70" w:type="dxa"/>
              <w:end w:w="80" w:type="dxa"/>
            </w:tcMar>
            <w:vAlign w:val="center"/>
          </w:tcPr>
          <w:p>
            <w:pPr>
              <w:jc w:val="left"/>
            </w:pPr>
            <w:r>
              <w:rPr>
                <w:rFonts w:ascii="Aptos" w:hAnsi="Aptos"/>
                <w:b/>
                <w:color w:val="FFFFFF"/>
                <w:sz w:val="16"/>
              </w:rPr>
              <w:t>Boundary or caution</w:t>
            </w:r>
          </w:p>
        </w:tc>
        <w:tc>
          <w:tcPr>
            <w:tcW w:type="dxa" w:w="1584"/>
            <w:shd w:fill="17365D"/>
            <w:tcMar>
              <w:top w:w="70" w:type="dxa"/>
              <w:start w:w="80" w:type="dxa"/>
              <w:bottom w:w="70" w:type="dxa"/>
              <w:end w:w="80" w:type="dxa"/>
            </w:tcMar>
            <w:vAlign w:val="center"/>
          </w:tcPr>
          <w:p>
            <w:pPr>
              <w:jc w:val="left"/>
            </w:pPr>
            <w:r>
              <w:rPr>
                <w:rFonts w:ascii="Aptos" w:hAnsi="Aptos"/>
                <w:b/>
                <w:color w:val="FFFFFF"/>
                <w:sz w:val="16"/>
              </w:rPr>
              <w:t>Status and link</w:t>
            </w:r>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Chai et al. (2020)</w:t>
              <w:br/>
              <w:t>Detectable fake-image properties</w:t>
            </w:r>
          </w:p>
        </w:tc>
        <w:tc>
          <w:tcPr>
            <w:tcW w:type="dxa" w:w="3413"/>
            <w:vAlign w:val="top"/>
            <w:tcMar>
              <w:top w:w="65" w:type="dxa"/>
              <w:start w:w="75" w:type="dxa"/>
              <w:bottom w:w="65" w:type="dxa"/>
              <w:end w:w="75" w:type="dxa"/>
            </w:tcMar>
          </w:tcPr>
          <w:p>
            <w:pPr>
              <w:spacing w:after="0"/>
            </w:pPr>
            <w:r>
              <w:rPr>
                <w:rFonts w:ascii="Aptos" w:hAnsi="Aptos"/>
                <w:b w:val="0"/>
                <w:color w:val="1F2933"/>
                <w:sz w:val="15"/>
              </w:rPr>
              <w:t>Shows that local image patches can contain artifacts that generalize across generators.</w:t>
            </w:r>
          </w:p>
        </w:tc>
        <w:tc>
          <w:tcPr>
            <w:tcW w:type="dxa" w:w="2333"/>
            <w:vAlign w:val="top"/>
            <w:tcMar>
              <w:top w:w="65" w:type="dxa"/>
              <w:start w:w="75" w:type="dxa"/>
              <w:bottom w:w="65" w:type="dxa"/>
              <w:end w:w="75" w:type="dxa"/>
            </w:tcMar>
          </w:tcPr>
          <w:p>
            <w:pPr>
              <w:spacing w:after="0"/>
            </w:pPr>
            <w:r>
              <w:rPr>
                <w:rFonts w:ascii="Aptos" w:hAnsi="Aptos"/>
                <w:b w:val="0"/>
                <w:color w:val="1F2933"/>
                <w:sz w:val="15"/>
              </w:rPr>
              <w:t>Primarily GAN and face-oriented evidence; transfer to text regions must be presented as a hypothesis.</w:t>
            </w:r>
          </w:p>
        </w:tc>
        <w:tc>
          <w:tcPr>
            <w:tcW w:type="dxa" w:w="1584"/>
            <w:vAlign w:val="top"/>
            <w:tcMar>
              <w:top w:w="65" w:type="dxa"/>
              <w:start w:w="75" w:type="dxa"/>
              <w:bottom w:w="65" w:type="dxa"/>
              <w:end w:w="75" w:type="dxa"/>
            </w:tcMar>
          </w:tcPr>
          <w:p>
            <w:pPr>
              <w:spacing w:after="0"/>
            </w:pPr>
            <w:r>
              <w:rPr>
                <w:rFonts w:ascii="Aptos" w:hAnsi="Aptos"/>
                <w:b/>
                <w:color w:val="548235"/>
                <w:sz w:val="14"/>
              </w:rPr>
              <w:t>Verified ECCV</w:t>
              <w:br/>
            </w:r>
            <w:hyperlink r:id="rId24">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shd w:fill="F4F7FA"/>
          </w:tcPr>
          <w:p>
            <w:pPr>
              <w:spacing w:after="0"/>
            </w:pPr>
            <w:r>
              <w:rPr>
                <w:rFonts w:ascii="Aptos" w:hAnsi="Aptos"/>
                <w:b/>
                <w:color w:val="17365D"/>
                <w:sz w:val="15"/>
              </w:rPr>
              <w:t>Tan et al. (2023)</w:t>
              <w:br/>
              <w:t>LGrad</w:t>
            </w:r>
          </w:p>
        </w:tc>
        <w:tc>
          <w:tcPr>
            <w:tcW w:type="dxa" w:w="3413"/>
            <w:vAlign w:val="top"/>
            <w:tcMar>
              <w:top w:w="65" w:type="dxa"/>
              <w:start w:w="75" w:type="dxa"/>
              <w:bottom w:w="65" w:type="dxa"/>
              <w:end w:w="75" w:type="dxa"/>
            </w:tcMar>
            <w:shd w:fill="F4F7FA"/>
          </w:tcPr>
          <w:p>
            <w:pPr>
              <w:spacing w:after="0"/>
            </w:pPr>
            <w:r>
              <w:rPr>
                <w:rFonts w:ascii="Aptos" w:hAnsi="Aptos"/>
                <w:b w:val="0"/>
                <w:color w:val="1F2933"/>
                <w:sz w:val="15"/>
              </w:rPr>
              <w:t>Supports gradient representations as generalized artifact evidence.</w:t>
            </w:r>
          </w:p>
        </w:tc>
        <w:tc>
          <w:tcPr>
            <w:tcW w:type="dxa" w:w="2333"/>
            <w:vAlign w:val="top"/>
            <w:tcMar>
              <w:top w:w="65" w:type="dxa"/>
              <w:start w:w="75" w:type="dxa"/>
              <w:bottom w:w="65" w:type="dxa"/>
              <w:end w:w="75" w:type="dxa"/>
            </w:tcMar>
            <w:shd w:fill="F4F7FA"/>
          </w:tcPr>
          <w:p>
            <w:pPr>
              <w:spacing w:after="0"/>
            </w:pPr>
            <w:r>
              <w:rPr>
                <w:rFonts w:ascii="Aptos" w:hAnsi="Aptos"/>
                <w:b w:val="0"/>
                <w:color w:val="1F2933"/>
                <w:sz w:val="15"/>
              </w:rPr>
              <w:t>Learned detector and whole-image context, not handcrafted text-region-only features.</w:t>
            </w:r>
          </w:p>
        </w:tc>
        <w:tc>
          <w:tcPr>
            <w:tcW w:type="dxa" w:w="1584"/>
            <w:vAlign w:val="top"/>
            <w:tcMar>
              <w:top w:w="65" w:type="dxa"/>
              <w:start w:w="75" w:type="dxa"/>
              <w:bottom w:w="65" w:type="dxa"/>
              <w:end w:w="75" w:type="dxa"/>
            </w:tcMar>
            <w:shd w:fill="F4F7FA"/>
          </w:tcPr>
          <w:p>
            <w:pPr>
              <w:spacing w:after="0"/>
            </w:pPr>
            <w:r>
              <w:rPr>
                <w:rFonts w:ascii="Aptos" w:hAnsi="Aptos"/>
                <w:b/>
                <w:color w:val="548235"/>
                <w:sz w:val="14"/>
              </w:rPr>
              <w:t>Verified CVPR</w:t>
              <w:br/>
            </w:r>
            <w:hyperlink r:id="rId25">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Tan et al. (2024)</w:t>
              <w:br/>
              <w:t>NPR</w:t>
            </w:r>
          </w:p>
        </w:tc>
        <w:tc>
          <w:tcPr>
            <w:tcW w:type="dxa" w:w="3413"/>
            <w:vAlign w:val="top"/>
            <w:tcMar>
              <w:top w:w="65" w:type="dxa"/>
              <w:start w:w="75" w:type="dxa"/>
              <w:bottom w:w="65" w:type="dxa"/>
              <w:end w:w="75" w:type="dxa"/>
            </w:tcMar>
          </w:tcPr>
          <w:p>
            <w:pPr>
              <w:spacing w:after="0"/>
            </w:pPr>
            <w:r>
              <w:rPr>
                <w:rFonts w:ascii="Aptos" w:hAnsi="Aptos"/>
                <w:b w:val="0"/>
                <w:color w:val="1F2933"/>
                <w:sz w:val="15"/>
              </w:rPr>
              <w:t>Supports local neighboring-pixel relationships and upsampling artifacts as forensic cues.</w:t>
            </w:r>
          </w:p>
        </w:tc>
        <w:tc>
          <w:tcPr>
            <w:tcW w:type="dxa" w:w="2333"/>
            <w:vAlign w:val="top"/>
            <w:tcMar>
              <w:top w:w="65" w:type="dxa"/>
              <w:start w:w="75" w:type="dxa"/>
              <w:bottom w:w="65" w:type="dxa"/>
              <w:end w:w="75" w:type="dxa"/>
            </w:tcMar>
          </w:tcPr>
          <w:p>
            <w:pPr>
              <w:spacing w:after="0"/>
            </w:pPr>
            <w:r>
              <w:rPr>
                <w:rFonts w:ascii="Aptos" w:hAnsi="Aptos"/>
                <w:b w:val="0"/>
                <w:color w:val="1F2933"/>
                <w:sz w:val="15"/>
              </w:rPr>
              <w:t>Not text-specific and may be sensitive to degradation.</w:t>
            </w:r>
          </w:p>
        </w:tc>
        <w:tc>
          <w:tcPr>
            <w:tcW w:type="dxa" w:w="1584"/>
            <w:vAlign w:val="top"/>
            <w:tcMar>
              <w:top w:w="65" w:type="dxa"/>
              <w:start w:w="75" w:type="dxa"/>
              <w:bottom w:w="65" w:type="dxa"/>
              <w:end w:w="75" w:type="dxa"/>
            </w:tcMar>
          </w:tcPr>
          <w:p>
            <w:pPr>
              <w:spacing w:after="0"/>
            </w:pPr>
            <w:r>
              <w:rPr>
                <w:rFonts w:ascii="Aptos" w:hAnsi="Aptos"/>
                <w:b/>
                <w:color w:val="548235"/>
                <w:sz w:val="14"/>
              </w:rPr>
              <w:t>Verified CVPR</w:t>
              <w:br/>
            </w:r>
            <w:hyperlink r:id="rId26">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shd w:fill="F4F7FA"/>
          </w:tcPr>
          <w:p>
            <w:pPr>
              <w:spacing w:after="0"/>
            </w:pPr>
            <w:r>
              <w:rPr>
                <w:rFonts w:ascii="Aptos" w:hAnsi="Aptos"/>
                <w:b/>
                <w:color w:val="17365D"/>
                <w:sz w:val="15"/>
              </w:rPr>
              <w:t>Sinitsa and Fried (2024)</w:t>
              <w:br/>
              <w:t>Deep Image Fingerprint</w:t>
            </w:r>
          </w:p>
        </w:tc>
        <w:tc>
          <w:tcPr>
            <w:tcW w:type="dxa" w:w="3413"/>
            <w:vAlign w:val="top"/>
            <w:tcMar>
              <w:top w:w="65" w:type="dxa"/>
              <w:start w:w="75" w:type="dxa"/>
              <w:bottom w:w="65" w:type="dxa"/>
              <w:end w:w="75" w:type="dxa"/>
            </w:tcMar>
            <w:shd w:fill="F4F7FA"/>
          </w:tcPr>
          <w:p>
            <w:pPr>
              <w:spacing w:after="0"/>
            </w:pPr>
            <w:r>
              <w:rPr>
                <w:rFonts w:ascii="Aptos" w:hAnsi="Aptos"/>
                <w:b w:val="0"/>
                <w:color w:val="1F2933"/>
                <w:sz w:val="15"/>
              </w:rPr>
              <w:t>Provides low-budget synthetic-image detection context and generator-fingerprint motivation.</w:t>
            </w:r>
          </w:p>
        </w:tc>
        <w:tc>
          <w:tcPr>
            <w:tcW w:type="dxa" w:w="2333"/>
            <w:vAlign w:val="top"/>
            <w:tcMar>
              <w:top w:w="65" w:type="dxa"/>
              <w:start w:w="75" w:type="dxa"/>
              <w:bottom w:w="65" w:type="dxa"/>
              <w:end w:w="75" w:type="dxa"/>
            </w:tcMar>
            <w:shd w:fill="F4F7FA"/>
          </w:tcPr>
          <w:p>
            <w:pPr>
              <w:spacing w:after="0"/>
            </w:pPr>
            <w:r>
              <w:rPr>
                <w:rFonts w:ascii="Aptos" w:hAnsi="Aptos"/>
                <w:b w:val="0"/>
                <w:color w:val="1F2933"/>
                <w:sz w:val="15"/>
              </w:rPr>
              <w:t>Deep learned representation rather than an interpretable text feature vector.</w:t>
            </w:r>
          </w:p>
        </w:tc>
        <w:tc>
          <w:tcPr>
            <w:tcW w:type="dxa" w:w="1584"/>
            <w:vAlign w:val="top"/>
            <w:tcMar>
              <w:top w:w="65" w:type="dxa"/>
              <w:start w:w="75" w:type="dxa"/>
              <w:bottom w:w="65" w:type="dxa"/>
              <w:end w:w="75" w:type="dxa"/>
            </w:tcMar>
            <w:shd w:fill="F4F7FA"/>
          </w:tcPr>
          <w:p>
            <w:pPr>
              <w:spacing w:after="0"/>
            </w:pPr>
            <w:r>
              <w:rPr>
                <w:rFonts w:ascii="Aptos" w:hAnsi="Aptos"/>
                <w:b/>
                <w:color w:val="548235"/>
                <w:sz w:val="14"/>
              </w:rPr>
              <w:t>Verified WACV</w:t>
              <w:br/>
            </w:r>
            <w:hyperlink r:id="rId27">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Wang et al. (2023)</w:t>
              <w:br/>
              <w:t>DIRE</w:t>
            </w:r>
          </w:p>
        </w:tc>
        <w:tc>
          <w:tcPr>
            <w:tcW w:type="dxa" w:w="3413"/>
            <w:vAlign w:val="top"/>
            <w:tcMar>
              <w:top w:w="65" w:type="dxa"/>
              <w:start w:w="75" w:type="dxa"/>
              <w:bottom w:w="65" w:type="dxa"/>
              <w:end w:w="75" w:type="dxa"/>
            </w:tcMar>
          </w:tcPr>
          <w:p>
            <w:pPr>
              <w:spacing w:after="0"/>
            </w:pPr>
            <w:r>
              <w:rPr>
                <w:rFonts w:ascii="Aptos" w:hAnsi="Aptos"/>
                <w:b w:val="0"/>
                <w:color w:val="1F2933"/>
                <w:sz w:val="15"/>
              </w:rPr>
              <w:t>Uses diffusion reconstruction error for detecting diffusion-generated images.</w:t>
            </w:r>
          </w:p>
        </w:tc>
        <w:tc>
          <w:tcPr>
            <w:tcW w:type="dxa" w:w="2333"/>
            <w:vAlign w:val="top"/>
            <w:tcMar>
              <w:top w:w="65" w:type="dxa"/>
              <w:start w:w="75" w:type="dxa"/>
              <w:bottom w:w="65" w:type="dxa"/>
              <w:end w:w="75" w:type="dxa"/>
            </w:tcMar>
          </w:tcPr>
          <w:p>
            <w:pPr>
              <w:spacing w:after="0"/>
            </w:pPr>
            <w:r>
              <w:rPr>
                <w:rFonts w:ascii="Aptos" w:hAnsi="Aptos"/>
                <w:b w:val="0"/>
                <w:color w:val="1F2933"/>
                <w:sz w:val="15"/>
              </w:rPr>
              <w:t>Requires a reconstruction model and does not match the planned traditional ML pipeline.</w:t>
            </w:r>
          </w:p>
        </w:tc>
        <w:tc>
          <w:tcPr>
            <w:tcW w:type="dxa" w:w="1584"/>
            <w:vAlign w:val="top"/>
            <w:tcMar>
              <w:top w:w="65" w:type="dxa"/>
              <w:start w:w="75" w:type="dxa"/>
              <w:bottom w:w="65" w:type="dxa"/>
              <w:end w:w="75" w:type="dxa"/>
            </w:tcMar>
          </w:tcPr>
          <w:p>
            <w:pPr>
              <w:spacing w:after="0"/>
            </w:pPr>
            <w:r>
              <w:rPr>
                <w:rFonts w:ascii="Aptos" w:hAnsi="Aptos"/>
                <w:b/>
                <w:color w:val="548235"/>
                <w:sz w:val="14"/>
              </w:rPr>
              <w:t>Verified ICCV</w:t>
              <w:br/>
            </w:r>
            <w:hyperlink r:id="rId28">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shd w:fill="F4F7FA"/>
          </w:tcPr>
          <w:p>
            <w:pPr>
              <w:spacing w:after="0"/>
            </w:pPr>
            <w:r>
              <w:rPr>
                <w:rFonts w:ascii="Aptos" w:hAnsi="Aptos"/>
                <w:b/>
                <w:color w:val="17365D"/>
                <w:sz w:val="15"/>
              </w:rPr>
              <w:t>Ricker et al. (2024)</w:t>
              <w:br/>
              <w:t>AEROBLADE</w:t>
            </w:r>
          </w:p>
        </w:tc>
        <w:tc>
          <w:tcPr>
            <w:tcW w:type="dxa" w:w="3413"/>
            <w:vAlign w:val="top"/>
            <w:tcMar>
              <w:top w:w="65" w:type="dxa"/>
              <w:start w:w="75" w:type="dxa"/>
              <w:bottom w:w="65" w:type="dxa"/>
              <w:end w:w="75" w:type="dxa"/>
            </w:tcMar>
            <w:shd w:fill="F4F7FA"/>
          </w:tcPr>
          <w:p>
            <w:pPr>
              <w:spacing w:after="0"/>
            </w:pPr>
            <w:r>
              <w:rPr>
                <w:rFonts w:ascii="Aptos" w:hAnsi="Aptos"/>
                <w:b w:val="0"/>
                <w:color w:val="1F2933"/>
                <w:sz w:val="15"/>
              </w:rPr>
              <w:t>Training-free latent-diffusion detection through autoencoder reconstruction error.</w:t>
            </w:r>
          </w:p>
        </w:tc>
        <w:tc>
          <w:tcPr>
            <w:tcW w:type="dxa" w:w="2333"/>
            <w:vAlign w:val="top"/>
            <w:tcMar>
              <w:top w:w="65" w:type="dxa"/>
              <w:start w:w="75" w:type="dxa"/>
              <w:bottom w:w="65" w:type="dxa"/>
              <w:end w:w="75" w:type="dxa"/>
            </w:tcMar>
            <w:shd w:fill="F4F7FA"/>
          </w:tcPr>
          <w:p>
            <w:pPr>
              <w:spacing w:after="0"/>
            </w:pPr>
            <w:r>
              <w:rPr>
                <w:rFonts w:ascii="Aptos" w:hAnsi="Aptos"/>
                <w:b w:val="0"/>
                <w:color w:val="1F2933"/>
                <w:sz w:val="15"/>
              </w:rPr>
              <w:t>Method depends on latent-diffusion autoencoders and is comparison context only.</w:t>
            </w:r>
          </w:p>
        </w:tc>
        <w:tc>
          <w:tcPr>
            <w:tcW w:type="dxa" w:w="1584"/>
            <w:vAlign w:val="top"/>
            <w:tcMar>
              <w:top w:w="65" w:type="dxa"/>
              <w:start w:w="75" w:type="dxa"/>
              <w:bottom w:w="65" w:type="dxa"/>
              <w:end w:w="75" w:type="dxa"/>
            </w:tcMar>
            <w:shd w:fill="F4F7FA"/>
          </w:tcPr>
          <w:p>
            <w:pPr>
              <w:spacing w:after="0"/>
            </w:pPr>
            <w:r>
              <w:rPr>
                <w:rFonts w:ascii="Aptos" w:hAnsi="Aptos"/>
                <w:b/>
                <w:color w:val="548235"/>
                <w:sz w:val="14"/>
              </w:rPr>
              <w:t>Verified CVPR</w:t>
              <w:br/>
            </w:r>
            <w:hyperlink r:id="rId29">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Zhong et al. (2023/2024)</w:t>
              <w:br/>
              <w:t>PatchCraft</w:t>
            </w:r>
          </w:p>
        </w:tc>
        <w:tc>
          <w:tcPr>
            <w:tcW w:type="dxa" w:w="3413"/>
            <w:vAlign w:val="top"/>
            <w:tcMar>
              <w:top w:w="65" w:type="dxa"/>
              <w:start w:w="75" w:type="dxa"/>
              <w:bottom w:w="65" w:type="dxa"/>
              <w:end w:w="75" w:type="dxa"/>
            </w:tcMar>
          </w:tcPr>
          <w:p>
            <w:pPr>
              <w:spacing w:after="0"/>
            </w:pPr>
            <w:r>
              <w:rPr>
                <w:rFonts w:ascii="Aptos" w:hAnsi="Aptos"/>
                <w:b w:val="0"/>
                <w:color w:val="1F2933"/>
                <w:sz w:val="15"/>
              </w:rPr>
              <w:t>Texture-rich versus texture-poor patches and inter-pixel correlation motivate local texture analysis.</w:t>
            </w:r>
          </w:p>
        </w:tc>
        <w:tc>
          <w:tcPr>
            <w:tcW w:type="dxa" w:w="2333"/>
            <w:vAlign w:val="top"/>
            <w:tcMar>
              <w:top w:w="65" w:type="dxa"/>
              <w:start w:w="75" w:type="dxa"/>
              <w:bottom w:w="65" w:type="dxa"/>
              <w:end w:w="75" w:type="dxa"/>
            </w:tcMar>
          </w:tcPr>
          <w:p>
            <w:pPr>
              <w:spacing w:after="0"/>
            </w:pPr>
            <w:r>
              <w:rPr>
                <w:rFonts w:ascii="Aptos" w:hAnsi="Aptos"/>
                <w:b w:val="0"/>
                <w:color w:val="1F2933"/>
                <w:sz w:val="15"/>
              </w:rPr>
              <w:t>arXiv preprint. Do not label peer-reviewed without verifying a venue version.</w:t>
            </w:r>
          </w:p>
        </w:tc>
        <w:tc>
          <w:tcPr>
            <w:tcW w:type="dxa" w:w="1584"/>
            <w:vAlign w:val="top"/>
            <w:tcMar>
              <w:top w:w="65" w:type="dxa"/>
              <w:start w:w="75" w:type="dxa"/>
              <w:bottom w:w="65" w:type="dxa"/>
              <w:end w:w="75" w:type="dxa"/>
            </w:tcMar>
          </w:tcPr>
          <w:p>
            <w:pPr>
              <w:spacing w:after="0"/>
            </w:pPr>
            <w:r>
              <w:rPr>
                <w:rFonts w:ascii="Aptos" w:hAnsi="Aptos"/>
                <w:b/>
                <w:color w:val="C65911"/>
                <w:sz w:val="14"/>
              </w:rPr>
              <w:t>Preprint only</w:t>
              <w:br/>
            </w:r>
            <w:hyperlink r:id="rId30">
              <w:r>
                <w:rPr>
                  <w:color w:val="2F75B5"/>
                  <w:u w:val="single"/>
                  <w:rFonts w:ascii="Aptos" w:hAnsi="Aptos"/>
                  <w:sz w:val="18"/>
                </w:rPr>
                <w:t>Open source</w:t>
              </w:r>
            </w:hyperlink>
          </w:p>
        </w:tc>
      </w:tr>
    </w:tbl>
    <w:p>
      <w:pPr>
        <w:spacing w:after="0"/>
      </w:pPr>
    </w:p>
    <w:p>
      <w:pPr>
        <w:pStyle w:val="Heading2"/>
        <w:keepNext/>
      </w:pPr>
      <w:r>
        <w:t>7.4 Engineered features and traditional classifiers</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261"/>
            <w:shd w:fill="17365D"/>
            <w:tcMar>
              <w:top w:w="70" w:type="dxa"/>
              <w:start w:w="80" w:type="dxa"/>
              <w:bottom w:w="70" w:type="dxa"/>
              <w:end w:w="80" w:type="dxa"/>
            </w:tcMar>
            <w:vAlign w:val="center"/>
          </w:tcPr>
          <w:p>
            <w:pPr>
              <w:jc w:val="left"/>
            </w:pPr>
            <w:r>
              <w:rPr>
                <w:rFonts w:ascii="Aptos" w:hAnsi="Aptos"/>
                <w:b/>
                <w:color w:val="FFFFFF"/>
                <w:sz w:val="16"/>
              </w:rPr>
              <w:t>Source</w:t>
            </w:r>
          </w:p>
        </w:tc>
        <w:tc>
          <w:tcPr>
            <w:tcW w:type="dxa" w:w="3413"/>
            <w:shd w:fill="17365D"/>
            <w:tcMar>
              <w:top w:w="70" w:type="dxa"/>
              <w:start w:w="80" w:type="dxa"/>
              <w:bottom w:w="70" w:type="dxa"/>
              <w:end w:w="80" w:type="dxa"/>
            </w:tcMar>
            <w:vAlign w:val="center"/>
          </w:tcPr>
          <w:p>
            <w:pPr>
              <w:jc w:val="left"/>
            </w:pPr>
            <w:r>
              <w:rPr>
                <w:rFonts w:ascii="Aptos" w:hAnsi="Aptos"/>
                <w:b/>
                <w:color w:val="FFFFFF"/>
                <w:sz w:val="16"/>
              </w:rPr>
              <w:t>Evidence and planned use</w:t>
            </w:r>
          </w:p>
        </w:tc>
        <w:tc>
          <w:tcPr>
            <w:tcW w:type="dxa" w:w="2333"/>
            <w:shd w:fill="17365D"/>
            <w:tcMar>
              <w:top w:w="70" w:type="dxa"/>
              <w:start w:w="80" w:type="dxa"/>
              <w:bottom w:w="70" w:type="dxa"/>
              <w:end w:w="80" w:type="dxa"/>
            </w:tcMar>
            <w:vAlign w:val="center"/>
          </w:tcPr>
          <w:p>
            <w:pPr>
              <w:jc w:val="left"/>
            </w:pPr>
            <w:r>
              <w:rPr>
                <w:rFonts w:ascii="Aptos" w:hAnsi="Aptos"/>
                <w:b/>
                <w:color w:val="FFFFFF"/>
                <w:sz w:val="16"/>
              </w:rPr>
              <w:t>Boundary or caution</w:t>
            </w:r>
          </w:p>
        </w:tc>
        <w:tc>
          <w:tcPr>
            <w:tcW w:type="dxa" w:w="1584"/>
            <w:shd w:fill="17365D"/>
            <w:tcMar>
              <w:top w:w="70" w:type="dxa"/>
              <w:start w:w="80" w:type="dxa"/>
              <w:bottom w:w="70" w:type="dxa"/>
              <w:end w:w="80" w:type="dxa"/>
            </w:tcMar>
            <w:vAlign w:val="center"/>
          </w:tcPr>
          <w:p>
            <w:pPr>
              <w:jc w:val="left"/>
            </w:pPr>
            <w:r>
              <w:rPr>
                <w:rFonts w:ascii="Aptos" w:hAnsi="Aptos"/>
                <w:b/>
                <w:color w:val="FFFFFF"/>
                <w:sz w:val="16"/>
              </w:rPr>
              <w:t>Status and link</w:t>
            </w:r>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Fu et al. (2022)</w:t>
              <w:br/>
              <w:t>Hybrid texture and sensor noise</w:t>
            </w:r>
          </w:p>
        </w:tc>
        <w:tc>
          <w:tcPr>
            <w:tcW w:type="dxa" w:w="3413"/>
            <w:vAlign w:val="top"/>
            <w:tcMar>
              <w:top w:w="65" w:type="dxa"/>
              <w:start w:w="75" w:type="dxa"/>
              <w:bottom w:w="65" w:type="dxa"/>
              <w:end w:w="75" w:type="dxa"/>
            </w:tcMar>
          </w:tcPr>
          <w:p>
            <w:pPr>
              <w:spacing w:after="0"/>
            </w:pPr>
            <w:r>
              <w:rPr>
                <w:rFonts w:ascii="Aptos" w:hAnsi="Aptos"/>
                <w:b w:val="0"/>
                <w:color w:val="1F2933"/>
                <w:sz w:val="15"/>
              </w:rPr>
              <w:t>Shows that texture and sensor-noise features can support GAN-face detection.</w:t>
            </w:r>
          </w:p>
        </w:tc>
        <w:tc>
          <w:tcPr>
            <w:tcW w:type="dxa" w:w="2333"/>
            <w:vAlign w:val="top"/>
            <w:tcMar>
              <w:top w:w="65" w:type="dxa"/>
              <w:start w:w="75" w:type="dxa"/>
              <w:bottom w:w="65" w:type="dxa"/>
              <w:end w:w="75" w:type="dxa"/>
            </w:tcMar>
          </w:tcPr>
          <w:p>
            <w:pPr>
              <w:spacing w:after="0"/>
            </w:pPr>
            <w:r>
              <w:rPr>
                <w:rFonts w:ascii="Aptos" w:hAnsi="Aptos"/>
                <w:b w:val="0"/>
                <w:color w:val="1F2933"/>
                <w:sz w:val="15"/>
              </w:rPr>
              <w:t>Face and GAN focus; not text-rich diffusion imagery.</w:t>
            </w:r>
          </w:p>
        </w:tc>
        <w:tc>
          <w:tcPr>
            <w:tcW w:type="dxa" w:w="1584"/>
            <w:vAlign w:val="top"/>
            <w:tcMar>
              <w:top w:w="65" w:type="dxa"/>
              <w:start w:w="75" w:type="dxa"/>
              <w:bottom w:w="65" w:type="dxa"/>
              <w:end w:w="75" w:type="dxa"/>
            </w:tcMar>
          </w:tcPr>
          <w:p>
            <w:pPr>
              <w:spacing w:after="0"/>
            </w:pPr>
            <w:r>
              <w:rPr>
                <w:rFonts w:ascii="Aptos" w:hAnsi="Aptos"/>
                <w:b/>
                <w:color w:val="548235"/>
                <w:sz w:val="14"/>
              </w:rPr>
              <w:t>Verified journal</w:t>
              <w:br/>
            </w:r>
            <w:hyperlink r:id="rId31">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shd w:fill="F4F7FA"/>
          </w:tcPr>
          <w:p>
            <w:pPr>
              <w:spacing w:after="0"/>
            </w:pPr>
            <w:r>
              <w:rPr>
                <w:rFonts w:ascii="Aptos" w:hAnsi="Aptos"/>
                <w:b/>
                <w:color w:val="17365D"/>
                <w:sz w:val="15"/>
              </w:rPr>
              <w:t>Greiner and Tuba (2023)</w:t>
              <w:br/>
              <w:t>SVM and texture features</w:t>
            </w:r>
          </w:p>
        </w:tc>
        <w:tc>
          <w:tcPr>
            <w:tcW w:type="dxa" w:w="3413"/>
            <w:vAlign w:val="top"/>
            <w:tcMar>
              <w:top w:w="65" w:type="dxa"/>
              <w:start w:w="75" w:type="dxa"/>
              <w:bottom w:w="65" w:type="dxa"/>
              <w:end w:w="75" w:type="dxa"/>
            </w:tcMar>
            <w:shd w:fill="F4F7FA"/>
          </w:tcPr>
          <w:p>
            <w:pPr>
              <w:spacing w:after="0"/>
            </w:pPr>
            <w:r>
              <w:rPr>
                <w:rFonts w:ascii="Aptos" w:hAnsi="Aptos"/>
                <w:b w:val="0"/>
                <w:color w:val="1F2933"/>
                <w:sz w:val="15"/>
              </w:rPr>
              <w:t>Supports the viability of SVM with engineered texture features for image-forgery detection.</w:t>
            </w:r>
          </w:p>
        </w:tc>
        <w:tc>
          <w:tcPr>
            <w:tcW w:type="dxa" w:w="2333"/>
            <w:vAlign w:val="top"/>
            <w:tcMar>
              <w:top w:w="65" w:type="dxa"/>
              <w:start w:w="75" w:type="dxa"/>
              <w:bottom w:w="65" w:type="dxa"/>
              <w:end w:w="75" w:type="dxa"/>
            </w:tcMar>
            <w:shd w:fill="F4F7FA"/>
          </w:tcPr>
          <w:p>
            <w:pPr>
              <w:spacing w:after="0"/>
            </w:pPr>
            <w:r>
              <w:rPr>
                <w:rFonts w:ascii="Aptos" w:hAnsi="Aptos"/>
                <w:b w:val="0"/>
                <w:color w:val="1F2933"/>
                <w:sz w:val="15"/>
              </w:rPr>
              <w:t>Forgery setting differs from AI-generated text imagery.</w:t>
            </w:r>
          </w:p>
        </w:tc>
        <w:tc>
          <w:tcPr>
            <w:tcW w:type="dxa" w:w="1584"/>
            <w:vAlign w:val="top"/>
            <w:tcMar>
              <w:top w:w="65" w:type="dxa"/>
              <w:start w:w="75" w:type="dxa"/>
              <w:bottom w:w="65" w:type="dxa"/>
              <w:end w:w="75" w:type="dxa"/>
            </w:tcMar>
            <w:shd w:fill="F4F7FA"/>
          </w:tcPr>
          <w:p>
            <w:pPr>
              <w:spacing w:after="0"/>
            </w:pPr>
            <w:r>
              <w:rPr>
                <w:rFonts w:ascii="Aptos" w:hAnsi="Aptos"/>
                <w:b/>
                <w:color w:val="548235"/>
                <w:sz w:val="14"/>
              </w:rPr>
              <w:t>Verified proceedings</w:t>
              <w:br/>
            </w:r>
            <w:hyperlink r:id="rId32">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Asghar et al. (2019)</w:t>
              <w:br/>
              <w:t>Edge-texture forgery detection</w:t>
            </w:r>
          </w:p>
        </w:tc>
        <w:tc>
          <w:tcPr>
            <w:tcW w:type="dxa" w:w="3413"/>
            <w:vAlign w:val="top"/>
            <w:tcMar>
              <w:top w:w="65" w:type="dxa"/>
              <w:start w:w="75" w:type="dxa"/>
              <w:bottom w:w="65" w:type="dxa"/>
              <w:end w:w="75" w:type="dxa"/>
            </w:tcMar>
          </w:tcPr>
          <w:p>
            <w:pPr>
              <w:spacing w:after="0"/>
            </w:pPr>
            <w:r>
              <w:rPr>
                <w:rFonts w:ascii="Aptos" w:hAnsi="Aptos"/>
                <w:b w:val="0"/>
                <w:color w:val="1F2933"/>
                <w:sz w:val="15"/>
              </w:rPr>
              <w:t>Supports combining edge and texture evidence and emphasizes cross-dataset evaluation.</w:t>
            </w:r>
          </w:p>
        </w:tc>
        <w:tc>
          <w:tcPr>
            <w:tcW w:type="dxa" w:w="2333"/>
            <w:vAlign w:val="top"/>
            <w:tcMar>
              <w:top w:w="65" w:type="dxa"/>
              <w:start w:w="75" w:type="dxa"/>
              <w:bottom w:w="65" w:type="dxa"/>
              <w:end w:w="75" w:type="dxa"/>
            </w:tcMar>
          </w:tcPr>
          <w:p>
            <w:pPr>
              <w:spacing w:after="0"/>
            </w:pPr>
            <w:r>
              <w:rPr>
                <w:rFonts w:ascii="Aptos" w:hAnsi="Aptos"/>
                <w:b w:val="0"/>
                <w:color w:val="1F2933"/>
                <w:sz w:val="15"/>
              </w:rPr>
              <w:t>Older manipulation-forgery setting, not generator-origin classification.</w:t>
            </w:r>
          </w:p>
        </w:tc>
        <w:tc>
          <w:tcPr>
            <w:tcW w:type="dxa" w:w="1584"/>
            <w:vAlign w:val="top"/>
            <w:tcMar>
              <w:top w:w="65" w:type="dxa"/>
              <w:start w:w="75" w:type="dxa"/>
              <w:bottom w:w="65" w:type="dxa"/>
              <w:end w:w="75" w:type="dxa"/>
            </w:tcMar>
          </w:tcPr>
          <w:p>
            <w:pPr>
              <w:spacing w:after="0"/>
            </w:pPr>
            <w:r>
              <w:rPr>
                <w:rFonts w:ascii="Aptos" w:hAnsi="Aptos"/>
                <w:b/>
                <w:color w:val="548235"/>
                <w:sz w:val="14"/>
              </w:rPr>
              <w:t>Verified journal</w:t>
              <w:br/>
            </w:r>
            <w:hyperlink r:id="rId33">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shd w:fill="F4F7FA"/>
          </w:tcPr>
          <w:p>
            <w:pPr>
              <w:spacing w:after="0"/>
            </w:pPr>
            <w:r>
              <w:rPr>
                <w:rFonts w:ascii="Aptos" w:hAnsi="Aptos"/>
                <w:b/>
                <w:color w:val="17365D"/>
                <w:sz w:val="15"/>
              </w:rPr>
              <w:t>Cox (1958)</w:t>
              <w:br/>
              <w:t>Binary logistic regression</w:t>
            </w:r>
          </w:p>
        </w:tc>
        <w:tc>
          <w:tcPr>
            <w:tcW w:type="dxa" w:w="3413"/>
            <w:vAlign w:val="top"/>
            <w:tcMar>
              <w:top w:w="65" w:type="dxa"/>
              <w:start w:w="75" w:type="dxa"/>
              <w:bottom w:w="65" w:type="dxa"/>
              <w:end w:w="75" w:type="dxa"/>
            </w:tcMar>
            <w:shd w:fill="F4F7FA"/>
          </w:tcPr>
          <w:p>
            <w:pPr>
              <w:spacing w:after="0"/>
            </w:pPr>
            <w:r>
              <w:rPr>
                <w:rFonts w:ascii="Aptos" w:hAnsi="Aptos"/>
                <w:b w:val="0"/>
                <w:color w:val="1F2933"/>
                <w:sz w:val="15"/>
              </w:rPr>
              <w:t>Foundational source for a linear probabilistic binary classifier.</w:t>
            </w:r>
          </w:p>
        </w:tc>
        <w:tc>
          <w:tcPr>
            <w:tcW w:type="dxa" w:w="2333"/>
            <w:vAlign w:val="top"/>
            <w:tcMar>
              <w:top w:w="65" w:type="dxa"/>
              <w:start w:w="75" w:type="dxa"/>
              <w:bottom w:w="65" w:type="dxa"/>
              <w:end w:w="75" w:type="dxa"/>
            </w:tcMar>
            <w:shd w:fill="F4F7FA"/>
          </w:tcPr>
          <w:p>
            <w:pPr>
              <w:spacing w:after="0"/>
            </w:pPr>
            <w:r>
              <w:rPr>
                <w:rFonts w:ascii="Aptos" w:hAnsi="Aptos"/>
                <w:b w:val="0"/>
                <w:color w:val="1F2933"/>
                <w:sz w:val="15"/>
              </w:rPr>
              <w:t>Use for algorithm foundation, not as recent domain evidence.</w:t>
            </w:r>
          </w:p>
        </w:tc>
        <w:tc>
          <w:tcPr>
            <w:tcW w:type="dxa" w:w="1584"/>
            <w:vAlign w:val="top"/>
            <w:tcMar>
              <w:top w:w="65" w:type="dxa"/>
              <w:start w:w="75" w:type="dxa"/>
              <w:bottom w:w="65" w:type="dxa"/>
              <w:end w:w="75" w:type="dxa"/>
            </w:tcMar>
            <w:shd w:fill="F4F7FA"/>
          </w:tcPr>
          <w:p>
            <w:pPr>
              <w:spacing w:after="0"/>
            </w:pPr>
            <w:r>
              <w:rPr>
                <w:rFonts w:ascii="Aptos" w:hAnsi="Aptos"/>
                <w:b/>
                <w:color w:val="548235"/>
                <w:sz w:val="14"/>
              </w:rPr>
              <w:t>Verified journal</w:t>
              <w:br/>
            </w:r>
            <w:hyperlink r:id="rId34">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Cortes and Vapnik (1995)</w:t>
              <w:br/>
              <w:t>Support-vector networks</w:t>
            </w:r>
          </w:p>
        </w:tc>
        <w:tc>
          <w:tcPr>
            <w:tcW w:type="dxa" w:w="3413"/>
            <w:vAlign w:val="top"/>
            <w:tcMar>
              <w:top w:w="65" w:type="dxa"/>
              <w:start w:w="75" w:type="dxa"/>
              <w:bottom w:w="65" w:type="dxa"/>
              <w:end w:w="75" w:type="dxa"/>
            </w:tcMar>
          </w:tcPr>
          <w:p>
            <w:pPr>
              <w:spacing w:after="0"/>
            </w:pPr>
            <w:r>
              <w:rPr>
                <w:rFonts w:ascii="Aptos" w:hAnsi="Aptos"/>
                <w:b w:val="0"/>
                <w:color w:val="1F2933"/>
                <w:sz w:val="15"/>
              </w:rPr>
              <w:t>Foundational source for maximum-margin classification.</w:t>
            </w:r>
          </w:p>
        </w:tc>
        <w:tc>
          <w:tcPr>
            <w:tcW w:type="dxa" w:w="2333"/>
            <w:vAlign w:val="top"/>
            <w:tcMar>
              <w:top w:w="65" w:type="dxa"/>
              <w:start w:w="75" w:type="dxa"/>
              <w:bottom w:w="65" w:type="dxa"/>
              <w:end w:w="75" w:type="dxa"/>
            </w:tcMar>
          </w:tcPr>
          <w:p>
            <w:pPr>
              <w:spacing w:after="0"/>
            </w:pPr>
            <w:r>
              <w:rPr>
                <w:rFonts w:ascii="Aptos" w:hAnsi="Aptos"/>
                <w:b w:val="0"/>
                <w:color w:val="1F2933"/>
                <w:sz w:val="15"/>
              </w:rPr>
              <w:t>Use for algorithm foundation, not domain novelty.</w:t>
            </w:r>
          </w:p>
        </w:tc>
        <w:tc>
          <w:tcPr>
            <w:tcW w:type="dxa" w:w="1584"/>
            <w:vAlign w:val="top"/>
            <w:tcMar>
              <w:top w:w="65" w:type="dxa"/>
              <w:start w:w="75" w:type="dxa"/>
              <w:bottom w:w="65" w:type="dxa"/>
              <w:end w:w="75" w:type="dxa"/>
            </w:tcMar>
          </w:tcPr>
          <w:p>
            <w:pPr>
              <w:spacing w:after="0"/>
            </w:pPr>
            <w:r>
              <w:rPr>
                <w:rFonts w:ascii="Aptos" w:hAnsi="Aptos"/>
                <w:b/>
                <w:color w:val="548235"/>
                <w:sz w:val="14"/>
              </w:rPr>
              <w:t>Verified journal</w:t>
              <w:br/>
            </w:r>
            <w:hyperlink r:id="rId35">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shd w:fill="F4F7FA"/>
          </w:tcPr>
          <w:p>
            <w:pPr>
              <w:spacing w:after="0"/>
            </w:pPr>
            <w:r>
              <w:rPr>
                <w:rFonts w:ascii="Aptos" w:hAnsi="Aptos"/>
                <w:b/>
                <w:color w:val="17365D"/>
                <w:sz w:val="15"/>
              </w:rPr>
              <w:t>Breiman (2001)</w:t>
              <w:br/>
              <w:t>Random forests</w:t>
            </w:r>
          </w:p>
        </w:tc>
        <w:tc>
          <w:tcPr>
            <w:tcW w:type="dxa" w:w="3413"/>
            <w:vAlign w:val="top"/>
            <w:tcMar>
              <w:top w:w="65" w:type="dxa"/>
              <w:start w:w="75" w:type="dxa"/>
              <w:bottom w:w="65" w:type="dxa"/>
              <w:end w:w="75" w:type="dxa"/>
            </w:tcMar>
            <w:shd w:fill="F4F7FA"/>
          </w:tcPr>
          <w:p>
            <w:pPr>
              <w:spacing w:after="0"/>
            </w:pPr>
            <w:r>
              <w:rPr>
                <w:rFonts w:ascii="Aptos" w:hAnsi="Aptos"/>
                <w:b w:val="0"/>
                <w:color w:val="1F2933"/>
                <w:sz w:val="15"/>
              </w:rPr>
              <w:t>Foundational source for ensemble tree classification and feature-importance analysis.</w:t>
            </w:r>
          </w:p>
        </w:tc>
        <w:tc>
          <w:tcPr>
            <w:tcW w:type="dxa" w:w="2333"/>
            <w:vAlign w:val="top"/>
            <w:tcMar>
              <w:top w:w="65" w:type="dxa"/>
              <w:start w:w="75" w:type="dxa"/>
              <w:bottom w:w="65" w:type="dxa"/>
              <w:end w:w="75" w:type="dxa"/>
            </w:tcMar>
            <w:shd w:fill="F4F7FA"/>
          </w:tcPr>
          <w:p>
            <w:pPr>
              <w:spacing w:after="0"/>
            </w:pPr>
            <w:r>
              <w:rPr>
                <w:rFonts w:ascii="Aptos" w:hAnsi="Aptos"/>
                <w:b w:val="0"/>
                <w:color w:val="1F2933"/>
                <w:sz w:val="15"/>
              </w:rPr>
              <w:t>Use for algorithm foundation; discuss importance measures cautiously.</w:t>
            </w:r>
          </w:p>
        </w:tc>
        <w:tc>
          <w:tcPr>
            <w:tcW w:type="dxa" w:w="1584"/>
            <w:vAlign w:val="top"/>
            <w:tcMar>
              <w:top w:w="65" w:type="dxa"/>
              <w:start w:w="75" w:type="dxa"/>
              <w:bottom w:w="65" w:type="dxa"/>
              <w:end w:w="75" w:type="dxa"/>
            </w:tcMar>
            <w:shd w:fill="F4F7FA"/>
          </w:tcPr>
          <w:p>
            <w:pPr>
              <w:spacing w:after="0"/>
            </w:pPr>
            <w:r>
              <w:rPr>
                <w:rFonts w:ascii="Aptos" w:hAnsi="Aptos"/>
                <w:b/>
                <w:color w:val="548235"/>
                <w:sz w:val="14"/>
              </w:rPr>
              <w:t>Verified journal</w:t>
              <w:br/>
            </w:r>
            <w:hyperlink r:id="rId36">
              <w:r>
                <w:rPr>
                  <w:color w:val="2F75B5"/>
                  <w:u w:val="single"/>
                  <w:rFonts w:ascii="Aptos" w:hAnsi="Aptos"/>
                  <w:sz w:val="18"/>
                </w:rPr>
                <w:t>Open source</w:t>
              </w:r>
            </w:hyperlink>
          </w:p>
        </w:tc>
      </w:tr>
    </w:tbl>
    <w:p>
      <w:pPr>
        <w:spacing w:after="0"/>
      </w:pPr>
    </w:p>
    <w:p>
      <w:pPr>
        <w:pStyle w:val="Heading2"/>
        <w:keepNext/>
      </w:pPr>
      <w:r>
        <w:t>7.5 Evaluation, leakage, reproducibility, and imbalance</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261"/>
            <w:shd w:fill="17365D"/>
            <w:tcMar>
              <w:top w:w="70" w:type="dxa"/>
              <w:start w:w="80" w:type="dxa"/>
              <w:bottom w:w="70" w:type="dxa"/>
              <w:end w:w="80" w:type="dxa"/>
            </w:tcMar>
            <w:vAlign w:val="center"/>
          </w:tcPr>
          <w:p>
            <w:pPr>
              <w:jc w:val="left"/>
            </w:pPr>
            <w:r>
              <w:rPr>
                <w:rFonts w:ascii="Aptos" w:hAnsi="Aptos"/>
                <w:b/>
                <w:color w:val="FFFFFF"/>
                <w:sz w:val="16"/>
              </w:rPr>
              <w:t>Source</w:t>
            </w:r>
          </w:p>
        </w:tc>
        <w:tc>
          <w:tcPr>
            <w:tcW w:type="dxa" w:w="3413"/>
            <w:shd w:fill="17365D"/>
            <w:tcMar>
              <w:top w:w="70" w:type="dxa"/>
              <w:start w:w="80" w:type="dxa"/>
              <w:bottom w:w="70" w:type="dxa"/>
              <w:end w:w="80" w:type="dxa"/>
            </w:tcMar>
            <w:vAlign w:val="center"/>
          </w:tcPr>
          <w:p>
            <w:pPr>
              <w:jc w:val="left"/>
            </w:pPr>
            <w:r>
              <w:rPr>
                <w:rFonts w:ascii="Aptos" w:hAnsi="Aptos"/>
                <w:b/>
                <w:color w:val="FFFFFF"/>
                <w:sz w:val="16"/>
              </w:rPr>
              <w:t>Evidence and planned use</w:t>
            </w:r>
          </w:p>
        </w:tc>
        <w:tc>
          <w:tcPr>
            <w:tcW w:type="dxa" w:w="2333"/>
            <w:shd w:fill="17365D"/>
            <w:tcMar>
              <w:top w:w="70" w:type="dxa"/>
              <w:start w:w="80" w:type="dxa"/>
              <w:bottom w:w="70" w:type="dxa"/>
              <w:end w:w="80" w:type="dxa"/>
            </w:tcMar>
            <w:vAlign w:val="center"/>
          </w:tcPr>
          <w:p>
            <w:pPr>
              <w:jc w:val="left"/>
            </w:pPr>
            <w:r>
              <w:rPr>
                <w:rFonts w:ascii="Aptos" w:hAnsi="Aptos"/>
                <w:b/>
                <w:color w:val="FFFFFF"/>
                <w:sz w:val="16"/>
              </w:rPr>
              <w:t>Boundary or caution</w:t>
            </w:r>
          </w:p>
        </w:tc>
        <w:tc>
          <w:tcPr>
            <w:tcW w:type="dxa" w:w="1584"/>
            <w:shd w:fill="17365D"/>
            <w:tcMar>
              <w:top w:w="70" w:type="dxa"/>
              <w:start w:w="80" w:type="dxa"/>
              <w:bottom w:w="70" w:type="dxa"/>
              <w:end w:w="80" w:type="dxa"/>
            </w:tcMar>
            <w:vAlign w:val="center"/>
          </w:tcPr>
          <w:p>
            <w:pPr>
              <w:jc w:val="left"/>
            </w:pPr>
            <w:r>
              <w:rPr>
                <w:rFonts w:ascii="Aptos" w:hAnsi="Aptos"/>
                <w:b/>
                <w:color w:val="FFFFFF"/>
                <w:sz w:val="16"/>
              </w:rPr>
              <w:t>Status and link</w:t>
            </w:r>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Kapoor and Narayanan (2023)</w:t>
              <w:br/>
              <w:t>ML leakage and reproducibility</w:t>
            </w:r>
          </w:p>
        </w:tc>
        <w:tc>
          <w:tcPr>
            <w:tcW w:type="dxa" w:w="3413"/>
            <w:vAlign w:val="top"/>
            <w:tcMar>
              <w:top w:w="65" w:type="dxa"/>
              <w:start w:w="75" w:type="dxa"/>
              <w:bottom w:w="65" w:type="dxa"/>
              <w:end w:w="75" w:type="dxa"/>
            </w:tcMar>
          </w:tcPr>
          <w:p>
            <w:pPr>
              <w:spacing w:after="0"/>
            </w:pPr>
            <w:r>
              <w:rPr>
                <w:rFonts w:ascii="Aptos" w:hAnsi="Aptos"/>
                <w:b w:val="0"/>
                <w:color w:val="1F2933"/>
                <w:sz w:val="15"/>
              </w:rPr>
              <w:t>Provides a broad framework for recognizing leakage and reproducibility failures in ML science.</w:t>
            </w:r>
          </w:p>
        </w:tc>
        <w:tc>
          <w:tcPr>
            <w:tcW w:type="dxa" w:w="2333"/>
            <w:vAlign w:val="top"/>
            <w:tcMar>
              <w:top w:w="65" w:type="dxa"/>
              <w:start w:w="75" w:type="dxa"/>
              <w:bottom w:w="65" w:type="dxa"/>
              <w:end w:w="75" w:type="dxa"/>
            </w:tcMar>
          </w:tcPr>
          <w:p>
            <w:pPr>
              <w:spacing w:after="0"/>
            </w:pPr>
            <w:r>
              <w:rPr>
                <w:rFonts w:ascii="Aptos" w:hAnsi="Aptos"/>
                <w:b w:val="0"/>
                <w:color w:val="1F2933"/>
                <w:sz w:val="15"/>
              </w:rPr>
              <w:t>Use to justify design controls, not as image-forensics evidence.</w:t>
            </w:r>
          </w:p>
        </w:tc>
        <w:tc>
          <w:tcPr>
            <w:tcW w:type="dxa" w:w="1584"/>
            <w:vAlign w:val="top"/>
            <w:tcMar>
              <w:top w:w="65" w:type="dxa"/>
              <w:start w:w="75" w:type="dxa"/>
              <w:bottom w:w="65" w:type="dxa"/>
              <w:end w:w="75" w:type="dxa"/>
            </w:tcMar>
          </w:tcPr>
          <w:p>
            <w:pPr>
              <w:spacing w:after="0"/>
            </w:pPr>
            <w:r>
              <w:rPr>
                <w:rFonts w:ascii="Aptos" w:hAnsi="Aptos"/>
                <w:b/>
                <w:color w:val="548235"/>
                <w:sz w:val="14"/>
              </w:rPr>
              <w:t>Verified journal</w:t>
              <w:br/>
            </w:r>
            <w:hyperlink r:id="rId37">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shd w:fill="F4F7FA"/>
          </w:tcPr>
          <w:p>
            <w:pPr>
              <w:spacing w:after="0"/>
            </w:pPr>
            <w:r>
              <w:rPr>
                <w:rFonts w:ascii="Aptos" w:hAnsi="Aptos"/>
                <w:b/>
                <w:color w:val="17365D"/>
                <w:sz w:val="15"/>
              </w:rPr>
              <w:t>Tampu et al. (2022)</w:t>
              <w:br/>
              <w:t>Leakage and inflated accuracy</w:t>
            </w:r>
          </w:p>
        </w:tc>
        <w:tc>
          <w:tcPr>
            <w:tcW w:type="dxa" w:w="3413"/>
            <w:vAlign w:val="top"/>
            <w:tcMar>
              <w:top w:w="65" w:type="dxa"/>
              <w:start w:w="75" w:type="dxa"/>
              <w:bottom w:w="65" w:type="dxa"/>
              <w:end w:w="75" w:type="dxa"/>
            </w:tcMar>
            <w:shd w:fill="F4F7FA"/>
          </w:tcPr>
          <w:p>
            <w:pPr>
              <w:spacing w:after="0"/>
            </w:pPr>
            <w:r>
              <w:rPr>
                <w:rFonts w:ascii="Aptos" w:hAnsi="Aptos"/>
                <w:b w:val="0"/>
                <w:color w:val="1F2933"/>
                <w:sz w:val="15"/>
              </w:rPr>
              <w:t>Empirically illustrates how leakage can inflate reported classification performance.</w:t>
            </w:r>
          </w:p>
        </w:tc>
        <w:tc>
          <w:tcPr>
            <w:tcW w:type="dxa" w:w="2333"/>
            <w:vAlign w:val="top"/>
            <w:tcMar>
              <w:top w:w="65" w:type="dxa"/>
              <w:start w:w="75" w:type="dxa"/>
              <w:bottom w:w="65" w:type="dxa"/>
              <w:end w:w="75" w:type="dxa"/>
            </w:tcMar>
            <w:shd w:fill="F4F7FA"/>
          </w:tcPr>
          <w:p>
            <w:pPr>
              <w:spacing w:after="0"/>
            </w:pPr>
            <w:r>
              <w:rPr>
                <w:rFonts w:ascii="Aptos" w:hAnsi="Aptos"/>
                <w:b w:val="0"/>
                <w:color w:val="1F2933"/>
                <w:sz w:val="15"/>
              </w:rPr>
              <w:t>Medical imaging domain; the leakage principle transfers, not the domain result.</w:t>
            </w:r>
          </w:p>
        </w:tc>
        <w:tc>
          <w:tcPr>
            <w:tcW w:type="dxa" w:w="1584"/>
            <w:vAlign w:val="top"/>
            <w:tcMar>
              <w:top w:w="65" w:type="dxa"/>
              <w:start w:w="75" w:type="dxa"/>
              <w:bottom w:w="65" w:type="dxa"/>
              <w:end w:w="75" w:type="dxa"/>
            </w:tcMar>
            <w:shd w:fill="F4F7FA"/>
          </w:tcPr>
          <w:p>
            <w:pPr>
              <w:spacing w:after="0"/>
            </w:pPr>
            <w:r>
              <w:rPr>
                <w:rFonts w:ascii="Aptos" w:hAnsi="Aptos"/>
                <w:b/>
                <w:color w:val="548235"/>
                <w:sz w:val="14"/>
              </w:rPr>
              <w:t>Verified journal</w:t>
              <w:br/>
            </w:r>
            <w:hyperlink r:id="rId38">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Varma and Simon (2006)</w:t>
              <w:br/>
              <w:t>Cross-validation bias</w:t>
            </w:r>
          </w:p>
        </w:tc>
        <w:tc>
          <w:tcPr>
            <w:tcW w:type="dxa" w:w="3413"/>
            <w:vAlign w:val="top"/>
            <w:tcMar>
              <w:top w:w="65" w:type="dxa"/>
              <w:start w:w="75" w:type="dxa"/>
              <w:bottom w:w="65" w:type="dxa"/>
              <w:end w:w="75" w:type="dxa"/>
            </w:tcMar>
          </w:tcPr>
          <w:p>
            <w:pPr>
              <w:spacing w:after="0"/>
            </w:pPr>
            <w:r>
              <w:rPr>
                <w:rFonts w:ascii="Aptos" w:hAnsi="Aptos"/>
                <w:b w:val="0"/>
                <w:color w:val="1F2933"/>
                <w:sz w:val="15"/>
              </w:rPr>
              <w:t>Supports nested or properly separated model selection and error estimation.</w:t>
            </w:r>
          </w:p>
        </w:tc>
        <w:tc>
          <w:tcPr>
            <w:tcW w:type="dxa" w:w="2333"/>
            <w:vAlign w:val="top"/>
            <w:tcMar>
              <w:top w:w="65" w:type="dxa"/>
              <w:start w:w="75" w:type="dxa"/>
              <w:bottom w:w="65" w:type="dxa"/>
              <w:end w:w="75" w:type="dxa"/>
            </w:tcMar>
          </w:tcPr>
          <w:p>
            <w:pPr>
              <w:spacing w:after="0"/>
            </w:pPr>
            <w:r>
              <w:rPr>
                <w:rFonts w:ascii="Aptos" w:hAnsi="Aptos"/>
                <w:b w:val="0"/>
                <w:color w:val="1F2933"/>
                <w:sz w:val="15"/>
              </w:rPr>
              <w:t>Older but methodologically foundational.</w:t>
            </w:r>
          </w:p>
        </w:tc>
        <w:tc>
          <w:tcPr>
            <w:tcW w:type="dxa" w:w="1584"/>
            <w:vAlign w:val="top"/>
            <w:tcMar>
              <w:top w:w="65" w:type="dxa"/>
              <w:start w:w="75" w:type="dxa"/>
              <w:bottom w:w="65" w:type="dxa"/>
              <w:end w:w="75" w:type="dxa"/>
            </w:tcMar>
          </w:tcPr>
          <w:p>
            <w:pPr>
              <w:spacing w:after="0"/>
            </w:pPr>
            <w:r>
              <w:rPr>
                <w:rFonts w:ascii="Aptos" w:hAnsi="Aptos"/>
                <w:b/>
                <w:color w:val="548235"/>
                <w:sz w:val="14"/>
              </w:rPr>
              <w:t>Verified journal</w:t>
              <w:br/>
            </w:r>
            <w:hyperlink r:id="rId39">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shd w:fill="F4F7FA"/>
          </w:tcPr>
          <w:p>
            <w:pPr>
              <w:spacing w:after="0"/>
            </w:pPr>
            <w:r>
              <w:rPr>
                <w:rFonts w:ascii="Aptos" w:hAnsi="Aptos"/>
                <w:b/>
                <w:color w:val="17365D"/>
                <w:sz w:val="15"/>
              </w:rPr>
              <w:t>Gösgens et al. (2021)</w:t>
              <w:br/>
              <w:t>Classification measures</w:t>
            </w:r>
          </w:p>
        </w:tc>
        <w:tc>
          <w:tcPr>
            <w:tcW w:type="dxa" w:w="3413"/>
            <w:vAlign w:val="top"/>
            <w:tcMar>
              <w:top w:w="65" w:type="dxa"/>
              <w:start w:w="75" w:type="dxa"/>
              <w:bottom w:w="65" w:type="dxa"/>
              <w:end w:w="75" w:type="dxa"/>
            </w:tcMar>
            <w:shd w:fill="F4F7FA"/>
          </w:tcPr>
          <w:p>
            <w:pPr>
              <w:spacing w:after="0"/>
            </w:pPr>
            <w:r>
              <w:rPr>
                <w:rFonts w:ascii="Aptos" w:hAnsi="Aptos"/>
                <w:b w:val="0"/>
                <w:color w:val="1F2933"/>
                <w:sz w:val="15"/>
              </w:rPr>
              <w:t>Provides principled criteria for selecting and evaluating classification measures.</w:t>
            </w:r>
          </w:p>
        </w:tc>
        <w:tc>
          <w:tcPr>
            <w:tcW w:type="dxa" w:w="2333"/>
            <w:vAlign w:val="top"/>
            <w:tcMar>
              <w:top w:w="65" w:type="dxa"/>
              <w:start w:w="75" w:type="dxa"/>
              <w:bottom w:w="65" w:type="dxa"/>
              <w:end w:w="75" w:type="dxa"/>
            </w:tcMar>
            <w:shd w:fill="F4F7FA"/>
          </w:tcPr>
          <w:p>
            <w:pPr>
              <w:spacing w:after="0"/>
            </w:pPr>
            <w:r>
              <w:rPr>
                <w:rFonts w:ascii="Aptos" w:hAnsi="Aptos"/>
                <w:b w:val="0"/>
                <w:color w:val="1F2933"/>
                <w:sz w:val="15"/>
              </w:rPr>
              <w:t>General metrics paper, not domain-specific.</w:t>
            </w:r>
          </w:p>
        </w:tc>
        <w:tc>
          <w:tcPr>
            <w:tcW w:type="dxa" w:w="1584"/>
            <w:vAlign w:val="top"/>
            <w:tcMar>
              <w:top w:w="65" w:type="dxa"/>
              <w:start w:w="75" w:type="dxa"/>
              <w:bottom w:w="65" w:type="dxa"/>
              <w:end w:w="75" w:type="dxa"/>
            </w:tcMar>
            <w:shd w:fill="F4F7FA"/>
          </w:tcPr>
          <w:p>
            <w:pPr>
              <w:spacing w:after="0"/>
            </w:pPr>
            <w:r>
              <w:rPr>
                <w:rFonts w:ascii="Aptos" w:hAnsi="Aptos"/>
                <w:b/>
                <w:color w:val="548235"/>
                <w:sz w:val="14"/>
              </w:rPr>
              <w:t>Verified NeurIPS</w:t>
              <w:br/>
            </w:r>
            <w:hyperlink r:id="rId40">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tcPr>
          <w:p>
            <w:pPr>
              <w:spacing w:after="0"/>
            </w:pPr>
            <w:r>
              <w:rPr>
                <w:rFonts w:ascii="Aptos" w:hAnsi="Aptos"/>
                <w:b/>
                <w:color w:val="17365D"/>
                <w:sz w:val="15"/>
              </w:rPr>
              <w:t>Saito and Rehmsmeier (2015)</w:t>
              <w:br/>
              <w:t>Precision–recall plots</w:t>
            </w:r>
          </w:p>
        </w:tc>
        <w:tc>
          <w:tcPr>
            <w:tcW w:type="dxa" w:w="3413"/>
            <w:vAlign w:val="top"/>
            <w:tcMar>
              <w:top w:w="65" w:type="dxa"/>
              <w:start w:w="75" w:type="dxa"/>
              <w:bottom w:w="65" w:type="dxa"/>
              <w:end w:w="75" w:type="dxa"/>
            </w:tcMar>
          </w:tcPr>
          <w:p>
            <w:pPr>
              <w:spacing w:after="0"/>
            </w:pPr>
            <w:r>
              <w:rPr>
                <w:rFonts w:ascii="Aptos" w:hAnsi="Aptos"/>
                <w:b w:val="0"/>
                <w:color w:val="1F2933"/>
                <w:sz w:val="15"/>
              </w:rPr>
              <w:t>Supports PR-based evaluation when the positive class is rare or class distributions are skewed.</w:t>
            </w:r>
          </w:p>
        </w:tc>
        <w:tc>
          <w:tcPr>
            <w:tcW w:type="dxa" w:w="2333"/>
            <w:vAlign w:val="top"/>
            <w:tcMar>
              <w:top w:w="65" w:type="dxa"/>
              <w:start w:w="75" w:type="dxa"/>
              <w:bottom w:w="65" w:type="dxa"/>
              <w:end w:w="75" w:type="dxa"/>
            </w:tcMar>
          </w:tcPr>
          <w:p>
            <w:pPr>
              <w:spacing w:after="0"/>
            </w:pPr>
            <w:r>
              <w:rPr>
                <w:rFonts w:ascii="Aptos" w:hAnsi="Aptos"/>
                <w:b w:val="0"/>
                <w:color w:val="1F2933"/>
                <w:sz w:val="15"/>
              </w:rPr>
              <w:t>Older but still a standard methodological reference.</w:t>
            </w:r>
          </w:p>
        </w:tc>
        <w:tc>
          <w:tcPr>
            <w:tcW w:type="dxa" w:w="1584"/>
            <w:vAlign w:val="top"/>
            <w:tcMar>
              <w:top w:w="65" w:type="dxa"/>
              <w:start w:w="75" w:type="dxa"/>
              <w:bottom w:w="65" w:type="dxa"/>
              <w:end w:w="75" w:type="dxa"/>
            </w:tcMar>
          </w:tcPr>
          <w:p>
            <w:pPr>
              <w:spacing w:after="0"/>
            </w:pPr>
            <w:r>
              <w:rPr>
                <w:rFonts w:ascii="Aptos" w:hAnsi="Aptos"/>
                <w:b/>
                <w:color w:val="548235"/>
                <w:sz w:val="14"/>
              </w:rPr>
              <w:t>Verified journal</w:t>
              <w:br/>
            </w:r>
            <w:hyperlink r:id="rId41">
              <w:r>
                <w:rPr>
                  <w:color w:val="2F75B5"/>
                  <w:u w:val="single"/>
                  <w:rFonts w:ascii="Aptos" w:hAnsi="Aptos"/>
                  <w:sz w:val="18"/>
                </w:rPr>
                <w:t>Open source</w:t>
              </w:r>
            </w:hyperlink>
          </w:p>
        </w:tc>
      </w:tr>
      <w:tr>
        <w:trPr>
          <w:cantSplit/>
        </w:trPr>
        <w:tc>
          <w:tcPr>
            <w:tcW w:type="dxa" w:w="2261"/>
            <w:vAlign w:val="top"/>
            <w:tcMar>
              <w:top w:w="65" w:type="dxa"/>
              <w:start w:w="75" w:type="dxa"/>
              <w:bottom w:w="65" w:type="dxa"/>
              <w:end w:w="75" w:type="dxa"/>
            </w:tcMar>
            <w:shd w:fill="F4F7FA"/>
          </w:tcPr>
          <w:p>
            <w:pPr>
              <w:spacing w:after="0"/>
            </w:pPr>
            <w:r>
              <w:rPr>
                <w:rFonts w:ascii="Aptos" w:hAnsi="Aptos"/>
                <w:b/>
                <w:color w:val="17365D"/>
                <w:sz w:val="15"/>
              </w:rPr>
              <w:t>Chen et al. (2024)</w:t>
              <w:br/>
              <w:t>Imbalanced learning survey</w:t>
            </w:r>
          </w:p>
        </w:tc>
        <w:tc>
          <w:tcPr>
            <w:tcW w:type="dxa" w:w="3413"/>
            <w:vAlign w:val="top"/>
            <w:tcMar>
              <w:top w:w="65" w:type="dxa"/>
              <w:start w:w="75" w:type="dxa"/>
              <w:bottom w:w="65" w:type="dxa"/>
              <w:end w:w="75" w:type="dxa"/>
            </w:tcMar>
            <w:shd w:fill="F4F7FA"/>
          </w:tcPr>
          <w:p>
            <w:pPr>
              <w:spacing w:after="0"/>
            </w:pPr>
            <w:r>
              <w:rPr>
                <w:rFonts w:ascii="Aptos" w:hAnsi="Aptos"/>
                <w:b w:val="0"/>
                <w:color w:val="1F2933"/>
                <w:sz w:val="15"/>
              </w:rPr>
              <w:t>Recent synthesis of imbalanced-learning methods, applications, and evaluation concerns.</w:t>
            </w:r>
          </w:p>
        </w:tc>
        <w:tc>
          <w:tcPr>
            <w:tcW w:type="dxa" w:w="2333"/>
            <w:vAlign w:val="top"/>
            <w:tcMar>
              <w:top w:w="65" w:type="dxa"/>
              <w:start w:w="75" w:type="dxa"/>
              <w:bottom w:w="65" w:type="dxa"/>
              <w:end w:w="75" w:type="dxa"/>
            </w:tcMar>
            <w:shd w:fill="F4F7FA"/>
          </w:tcPr>
          <w:p>
            <w:pPr>
              <w:spacing w:after="0"/>
            </w:pPr>
            <w:r>
              <w:rPr>
                <w:rFonts w:ascii="Aptos" w:hAnsi="Aptos"/>
                <w:b w:val="0"/>
                <w:color w:val="1F2933"/>
                <w:sz w:val="15"/>
              </w:rPr>
              <w:t>Broad survey; cite only the claims relevant to class imbalance and metrics.</w:t>
            </w:r>
          </w:p>
        </w:tc>
        <w:tc>
          <w:tcPr>
            <w:tcW w:type="dxa" w:w="1584"/>
            <w:vAlign w:val="top"/>
            <w:tcMar>
              <w:top w:w="65" w:type="dxa"/>
              <w:start w:w="75" w:type="dxa"/>
              <w:bottom w:w="65" w:type="dxa"/>
              <w:end w:w="75" w:type="dxa"/>
            </w:tcMar>
            <w:shd w:fill="F4F7FA"/>
          </w:tcPr>
          <w:p>
            <w:pPr>
              <w:spacing w:after="0"/>
            </w:pPr>
            <w:r>
              <w:rPr>
                <w:rFonts w:ascii="Aptos" w:hAnsi="Aptos"/>
                <w:b/>
                <w:color w:val="548235"/>
                <w:sz w:val="14"/>
              </w:rPr>
              <w:t>Verified journal</w:t>
              <w:br/>
            </w:r>
            <w:hyperlink r:id="rId42">
              <w:r>
                <w:rPr>
                  <w:color w:val="2F75B5"/>
                  <w:u w:val="single"/>
                  <w:rFonts w:ascii="Aptos" w:hAnsi="Aptos"/>
                  <w:sz w:val="18"/>
                </w:rPr>
                <w:t>Open source</w:t>
              </w:r>
            </w:hyperlink>
          </w:p>
        </w:tc>
      </w:tr>
    </w:tbl>
    <w:p>
      <w:pPr>
        <w:spacing w:after="0"/>
      </w:pPr>
    </w:p>
    <w:p>
      <w:pPr>
        <w:pStyle w:val="Heading1"/>
        <w:keepNext/>
      </w:pPr>
      <w:r>
        <w:t>8 Citation and claim control</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448"/>
            <w:shd w:fill="17365D"/>
            <w:tcMar>
              <w:top w:w="70" w:type="dxa"/>
              <w:start w:w="80" w:type="dxa"/>
              <w:bottom w:w="70" w:type="dxa"/>
              <w:end w:w="80" w:type="dxa"/>
            </w:tcMar>
          </w:tcPr>
          <w:p>
            <w:r>
              <w:rPr>
                <w:rFonts w:ascii="Aptos" w:hAnsi="Aptos"/>
                <w:b/>
                <w:color w:val="FFFFFF"/>
                <w:sz w:val="16"/>
              </w:rPr>
              <w:t>Item</w:t>
            </w:r>
          </w:p>
        </w:tc>
        <w:tc>
          <w:tcPr>
            <w:tcW w:type="dxa" w:w="1656"/>
            <w:shd w:fill="17365D"/>
            <w:tcMar>
              <w:top w:w="70" w:type="dxa"/>
              <w:start w:w="80" w:type="dxa"/>
              <w:bottom w:w="70" w:type="dxa"/>
              <w:end w:w="80" w:type="dxa"/>
            </w:tcMar>
          </w:tcPr>
          <w:p>
            <w:r>
              <w:rPr>
                <w:rFonts w:ascii="Aptos" w:hAnsi="Aptos"/>
                <w:b/>
                <w:color w:val="FFFFFF"/>
                <w:sz w:val="16"/>
              </w:rPr>
              <w:t>Status</w:t>
            </w:r>
          </w:p>
        </w:tc>
        <w:tc>
          <w:tcPr>
            <w:tcW w:type="dxa" w:w="5400"/>
            <w:shd w:fill="17365D"/>
            <w:tcMar>
              <w:top w:w="70" w:type="dxa"/>
              <w:start w:w="80" w:type="dxa"/>
              <w:bottom w:w="70" w:type="dxa"/>
              <w:end w:w="80" w:type="dxa"/>
            </w:tcMar>
          </w:tcPr>
          <w:p>
            <w:r>
              <w:rPr>
                <w:rFonts w:ascii="Aptos" w:hAnsi="Aptos"/>
                <w:b/>
                <w:color w:val="FFFFFF"/>
                <w:sz w:val="16"/>
              </w:rPr>
              <w:t>Required treatment</w:t>
            </w:r>
          </w:p>
        </w:tc>
      </w:tr>
      <w:tr>
        <w:trPr>
          <w:cantSplit/>
        </w:trPr>
        <w:tc>
          <w:tcPr>
            <w:tcW w:type="dxa" w:w="2448"/>
            <w:tcMar>
              <w:top w:w="70" w:type="dxa"/>
              <w:start w:w="80" w:type="dxa"/>
              <w:bottom w:w="70" w:type="dxa"/>
              <w:end w:w="80" w:type="dxa"/>
            </w:tcMar>
          </w:tcPr>
          <w:p>
            <w:r>
              <w:rPr>
                <w:rFonts w:ascii="Aptos" w:hAnsi="Aptos"/>
                <w:b/>
                <w:color w:val="17365D"/>
                <w:sz w:val="16"/>
              </w:rPr>
              <w:t>TextFake</w:t>
            </w:r>
          </w:p>
        </w:tc>
        <w:tc>
          <w:tcPr>
            <w:tcW w:type="dxa" w:w="1656"/>
            <w:tcMar>
              <w:top w:w="70" w:type="dxa"/>
              <w:start w:w="80" w:type="dxa"/>
              <w:bottom w:w="70" w:type="dxa"/>
              <w:end w:w="80" w:type="dxa"/>
            </w:tcMar>
          </w:tcPr>
          <w:p>
            <w:r>
              <w:rPr>
                <w:rFonts w:ascii="Aptos" w:hAnsi="Aptos"/>
                <w:b w:val="0"/>
                <w:color w:val="1F2933"/>
                <w:sz w:val="16"/>
              </w:rPr>
              <w:t>Preprint</w:t>
            </w:r>
          </w:p>
        </w:tc>
        <w:tc>
          <w:tcPr>
            <w:tcW w:type="dxa" w:w="5400"/>
            <w:tcMar>
              <w:top w:w="70" w:type="dxa"/>
              <w:start w:w="80" w:type="dxa"/>
              <w:bottom w:w="70" w:type="dxa"/>
              <w:end w:w="80" w:type="dxa"/>
            </w:tcMar>
          </w:tcPr>
          <w:p>
            <w:r>
              <w:rPr>
                <w:rFonts w:ascii="Aptos" w:hAnsi="Aptos"/>
                <w:b w:val="0"/>
                <w:color w:val="1F2933"/>
                <w:sz w:val="16"/>
              </w:rPr>
              <w:t>Label as an arXiv preprint. Recheck whether a venue version has appeared before final submission.</w:t>
            </w:r>
          </w:p>
        </w:tc>
      </w:tr>
      <w:tr>
        <w:trPr>
          <w:cantSplit/>
        </w:trPr>
        <w:tc>
          <w:tcPr>
            <w:tcW w:type="dxa" w:w="2448"/>
            <w:tcMar>
              <w:top w:w="70" w:type="dxa"/>
              <w:start w:w="80" w:type="dxa"/>
              <w:bottom w:w="70" w:type="dxa"/>
              <w:end w:w="80" w:type="dxa"/>
            </w:tcMar>
            <w:shd w:fill="F4F7FA"/>
          </w:tcPr>
          <w:p>
            <w:r>
              <w:rPr>
                <w:rFonts w:ascii="Aptos" w:hAnsi="Aptos"/>
                <w:b/>
                <w:color w:val="17365D"/>
                <w:sz w:val="16"/>
              </w:rPr>
              <w:t>PatchCraft</w:t>
            </w:r>
          </w:p>
        </w:tc>
        <w:tc>
          <w:tcPr>
            <w:tcW w:type="dxa" w:w="1656"/>
            <w:tcMar>
              <w:top w:w="70" w:type="dxa"/>
              <w:start w:w="80" w:type="dxa"/>
              <w:bottom w:w="70" w:type="dxa"/>
              <w:end w:w="80" w:type="dxa"/>
            </w:tcMar>
            <w:shd w:fill="F4F7FA"/>
          </w:tcPr>
          <w:p>
            <w:r>
              <w:rPr>
                <w:rFonts w:ascii="Aptos" w:hAnsi="Aptos"/>
                <w:b w:val="0"/>
                <w:color w:val="1F2933"/>
                <w:sz w:val="16"/>
              </w:rPr>
              <w:t>Preprint</w:t>
            </w:r>
          </w:p>
        </w:tc>
        <w:tc>
          <w:tcPr>
            <w:tcW w:type="dxa" w:w="5400"/>
            <w:tcMar>
              <w:top w:w="70" w:type="dxa"/>
              <w:start w:w="80" w:type="dxa"/>
              <w:bottom w:w="70" w:type="dxa"/>
              <w:end w:w="80" w:type="dxa"/>
            </w:tcMar>
            <w:shd w:fill="F4F7FA"/>
          </w:tcPr>
          <w:p>
            <w:r>
              <w:rPr>
                <w:rFonts w:ascii="Aptos" w:hAnsi="Aptos"/>
                <w:b w:val="0"/>
                <w:color w:val="1F2933"/>
                <w:sz w:val="16"/>
              </w:rPr>
              <w:t>Label as an arXiv preprint. Do not infer peer review from citations or a project page.</w:t>
            </w:r>
          </w:p>
        </w:tc>
      </w:tr>
      <w:tr>
        <w:trPr>
          <w:cantSplit/>
        </w:trPr>
        <w:tc>
          <w:tcPr>
            <w:tcW w:type="dxa" w:w="2448"/>
            <w:tcMar>
              <w:top w:w="70" w:type="dxa"/>
              <w:start w:w="80" w:type="dxa"/>
              <w:bottom w:w="70" w:type="dxa"/>
              <w:end w:w="80" w:type="dxa"/>
            </w:tcMar>
          </w:tcPr>
          <w:p>
            <w:r>
              <w:rPr>
                <w:rFonts w:ascii="Aptos" w:hAnsi="Aptos"/>
                <w:b/>
                <w:color w:val="17365D"/>
                <w:sz w:val="16"/>
              </w:rPr>
              <w:t>CIFAKE</w:t>
            </w:r>
          </w:p>
        </w:tc>
        <w:tc>
          <w:tcPr>
            <w:tcW w:type="dxa" w:w="1656"/>
            <w:tcMar>
              <w:top w:w="70" w:type="dxa"/>
              <w:start w:w="80" w:type="dxa"/>
              <w:bottom w:w="70" w:type="dxa"/>
              <w:end w:w="80" w:type="dxa"/>
            </w:tcMar>
          </w:tcPr>
          <w:p>
            <w:r>
              <w:rPr>
                <w:rFonts w:ascii="Aptos" w:hAnsi="Aptos"/>
                <w:b w:val="0"/>
                <w:color w:val="1F2933"/>
                <w:sz w:val="16"/>
              </w:rPr>
              <w:t>Published</w:t>
            </w:r>
          </w:p>
        </w:tc>
        <w:tc>
          <w:tcPr>
            <w:tcW w:type="dxa" w:w="5400"/>
            <w:tcMar>
              <w:top w:w="70" w:type="dxa"/>
              <w:start w:w="80" w:type="dxa"/>
              <w:bottom w:w="70" w:type="dxa"/>
              <w:end w:w="80" w:type="dxa"/>
            </w:tcMar>
          </w:tcPr>
          <w:p>
            <w:r>
              <w:rPr>
                <w:rFonts w:ascii="Aptos" w:hAnsi="Aptos"/>
                <w:b w:val="0"/>
                <w:color w:val="1F2933"/>
                <w:sz w:val="16"/>
              </w:rPr>
              <w:t>Confirm final APA 7 volume, issue, page range or article number, and DOI from IEEE Xplore.</w:t>
            </w:r>
          </w:p>
        </w:tc>
      </w:tr>
      <w:tr>
        <w:trPr>
          <w:cantSplit/>
        </w:trPr>
        <w:tc>
          <w:tcPr>
            <w:tcW w:type="dxa" w:w="2448"/>
            <w:tcMar>
              <w:top w:w="70" w:type="dxa"/>
              <w:start w:w="80" w:type="dxa"/>
              <w:bottom w:w="70" w:type="dxa"/>
              <w:end w:w="80" w:type="dxa"/>
            </w:tcMar>
            <w:shd w:fill="F4F7FA"/>
          </w:tcPr>
          <w:p>
            <w:r>
              <w:rPr>
                <w:rFonts w:ascii="Aptos" w:hAnsi="Aptos"/>
                <w:b/>
                <w:color w:val="17365D"/>
                <w:sz w:val="16"/>
              </w:rPr>
              <w:t>RRDataset and RRBench</w:t>
            </w:r>
          </w:p>
        </w:tc>
        <w:tc>
          <w:tcPr>
            <w:tcW w:type="dxa" w:w="1656"/>
            <w:tcMar>
              <w:top w:w="70" w:type="dxa"/>
              <w:start w:w="80" w:type="dxa"/>
              <w:bottom w:w="70" w:type="dxa"/>
              <w:end w:w="80" w:type="dxa"/>
            </w:tcMar>
            <w:shd w:fill="F4F7FA"/>
          </w:tcPr>
          <w:p>
            <w:r>
              <w:rPr>
                <w:rFonts w:ascii="Aptos" w:hAnsi="Aptos"/>
                <w:b w:val="0"/>
                <w:color w:val="1F2933"/>
                <w:sz w:val="16"/>
              </w:rPr>
              <w:t>Published</w:t>
            </w:r>
          </w:p>
        </w:tc>
        <w:tc>
          <w:tcPr>
            <w:tcW w:type="dxa" w:w="5400"/>
            <w:tcMar>
              <w:top w:w="70" w:type="dxa"/>
              <w:start w:w="80" w:type="dxa"/>
              <w:bottom w:w="70" w:type="dxa"/>
              <w:end w:w="80" w:type="dxa"/>
            </w:tcMar>
            <w:shd w:fill="F4F7FA"/>
          </w:tcPr>
          <w:p>
            <w:r>
              <w:rPr>
                <w:rFonts w:ascii="Aptos" w:hAnsi="Aptos"/>
                <w:b w:val="0"/>
                <w:color w:val="1F2933"/>
                <w:sz w:val="16"/>
              </w:rPr>
              <w:t>Confirm complete author list, official subtitle punctuation, page range, and DOI from ICCV proceedings or IEEE.</w:t>
            </w:r>
          </w:p>
        </w:tc>
      </w:tr>
      <w:tr>
        <w:trPr>
          <w:cantSplit/>
        </w:trPr>
        <w:tc>
          <w:tcPr>
            <w:tcW w:type="dxa" w:w="2448"/>
            <w:tcMar>
              <w:top w:w="70" w:type="dxa"/>
              <w:start w:w="80" w:type="dxa"/>
              <w:bottom w:w="70" w:type="dxa"/>
              <w:end w:w="80" w:type="dxa"/>
            </w:tcMar>
          </w:tcPr>
          <w:p>
            <w:r>
              <w:rPr>
                <w:rFonts w:ascii="Aptos" w:hAnsi="Aptos"/>
                <w:b/>
                <w:color w:val="17365D"/>
                <w:sz w:val="16"/>
              </w:rPr>
              <w:t>Community Forensics and SFLD</w:t>
            </w:r>
          </w:p>
        </w:tc>
        <w:tc>
          <w:tcPr>
            <w:tcW w:type="dxa" w:w="1656"/>
            <w:tcMar>
              <w:top w:w="70" w:type="dxa"/>
              <w:start w:w="80" w:type="dxa"/>
              <w:bottom w:w="70" w:type="dxa"/>
              <w:end w:w="80" w:type="dxa"/>
            </w:tcMar>
          </w:tcPr>
          <w:p>
            <w:r>
              <w:rPr>
                <w:rFonts w:ascii="Aptos" w:hAnsi="Aptos"/>
                <w:b w:val="0"/>
                <w:color w:val="1F2933"/>
                <w:sz w:val="16"/>
              </w:rPr>
              <w:t>Published</w:t>
            </w:r>
          </w:p>
        </w:tc>
        <w:tc>
          <w:tcPr>
            <w:tcW w:type="dxa" w:w="5400"/>
            <w:tcMar>
              <w:top w:w="70" w:type="dxa"/>
              <w:start w:w="80" w:type="dxa"/>
              <w:bottom w:w="70" w:type="dxa"/>
              <w:end w:w="80" w:type="dxa"/>
            </w:tcMar>
          </w:tcPr>
          <w:p>
            <w:r>
              <w:rPr>
                <w:rFonts w:ascii="Aptos" w:hAnsi="Aptos"/>
                <w:b w:val="0"/>
                <w:color w:val="1F2933"/>
                <w:sz w:val="16"/>
              </w:rPr>
              <w:t>Use official CVF proceedings metadata for final author order and pages.</w:t>
            </w:r>
          </w:p>
        </w:tc>
      </w:tr>
      <w:tr>
        <w:trPr>
          <w:cantSplit/>
        </w:trPr>
        <w:tc>
          <w:tcPr>
            <w:tcW w:type="dxa" w:w="2448"/>
            <w:tcMar>
              <w:top w:w="70" w:type="dxa"/>
              <w:start w:w="80" w:type="dxa"/>
              <w:bottom w:w="70" w:type="dxa"/>
              <w:end w:w="80" w:type="dxa"/>
            </w:tcMar>
            <w:shd w:fill="F4F7FA"/>
          </w:tcPr>
          <w:p>
            <w:r>
              <w:rPr>
                <w:rFonts w:ascii="Aptos" w:hAnsi="Aptos"/>
                <w:b/>
                <w:color w:val="17365D"/>
                <w:sz w:val="16"/>
              </w:rPr>
              <w:t>Foundational classifiers</w:t>
            </w:r>
          </w:p>
        </w:tc>
        <w:tc>
          <w:tcPr>
            <w:tcW w:type="dxa" w:w="1656"/>
            <w:tcMar>
              <w:top w:w="70" w:type="dxa"/>
              <w:start w:w="80" w:type="dxa"/>
              <w:bottom w:w="70" w:type="dxa"/>
              <w:end w:w="80" w:type="dxa"/>
            </w:tcMar>
            <w:shd w:fill="F4F7FA"/>
          </w:tcPr>
          <w:p>
            <w:r>
              <w:rPr>
                <w:rFonts w:ascii="Aptos" w:hAnsi="Aptos"/>
                <w:b w:val="0"/>
                <w:color w:val="1F2933"/>
                <w:sz w:val="16"/>
              </w:rPr>
              <w:t>Published</w:t>
            </w:r>
          </w:p>
        </w:tc>
        <w:tc>
          <w:tcPr>
            <w:tcW w:type="dxa" w:w="5400"/>
            <w:tcMar>
              <w:top w:w="70" w:type="dxa"/>
              <w:start w:w="80" w:type="dxa"/>
              <w:bottom w:w="70" w:type="dxa"/>
              <w:end w:w="80" w:type="dxa"/>
            </w:tcMar>
            <w:shd w:fill="F4F7FA"/>
          </w:tcPr>
          <w:p>
            <w:r>
              <w:rPr>
                <w:rFonts w:ascii="Aptos" w:hAnsi="Aptos"/>
                <w:b w:val="0"/>
                <w:color w:val="1F2933"/>
                <w:sz w:val="16"/>
              </w:rPr>
              <w:t>Keep despite age because they establish the algorithms; do not count them as recent domain literature.</w:t>
            </w:r>
          </w:p>
        </w:tc>
      </w:tr>
      <w:tr>
        <w:trPr>
          <w:cantSplit/>
        </w:trPr>
        <w:tc>
          <w:tcPr>
            <w:tcW w:type="dxa" w:w="2448"/>
            <w:tcMar>
              <w:top w:w="70" w:type="dxa"/>
              <w:start w:w="80" w:type="dxa"/>
              <w:bottom w:w="70" w:type="dxa"/>
              <w:end w:w="80" w:type="dxa"/>
            </w:tcMar>
          </w:tcPr>
          <w:p>
            <w:r>
              <w:rPr>
                <w:rFonts w:ascii="Aptos" w:hAnsi="Aptos"/>
                <w:b/>
                <w:color w:val="17365D"/>
                <w:sz w:val="16"/>
              </w:rPr>
              <w:t>Face, manipulation, and GAN studies</w:t>
            </w:r>
          </w:p>
        </w:tc>
        <w:tc>
          <w:tcPr>
            <w:tcW w:type="dxa" w:w="1656"/>
            <w:tcMar>
              <w:top w:w="70" w:type="dxa"/>
              <w:start w:w="80" w:type="dxa"/>
              <w:bottom w:w="70" w:type="dxa"/>
              <w:end w:w="80" w:type="dxa"/>
            </w:tcMar>
          </w:tcPr>
          <w:p>
            <w:r>
              <w:rPr>
                <w:rFonts w:ascii="Aptos" w:hAnsi="Aptos"/>
                <w:b w:val="0"/>
                <w:color w:val="1F2933"/>
                <w:sz w:val="16"/>
              </w:rPr>
              <w:t>Supporting evidence</w:t>
            </w:r>
          </w:p>
        </w:tc>
        <w:tc>
          <w:tcPr>
            <w:tcW w:type="dxa" w:w="5400"/>
            <w:tcMar>
              <w:top w:w="70" w:type="dxa"/>
              <w:start w:w="80" w:type="dxa"/>
              <w:bottom w:w="70" w:type="dxa"/>
              <w:end w:w="80" w:type="dxa"/>
            </w:tcMar>
          </w:tcPr>
          <w:p>
            <w:r>
              <w:rPr>
                <w:rFonts w:ascii="Aptos" w:hAnsi="Aptos"/>
                <w:b w:val="0"/>
                <w:color w:val="1F2933"/>
                <w:sz w:val="16"/>
              </w:rPr>
              <w:t>Describe them as adjacent forensic evidence, not direct proof that the same cues work in text-rich diffusion images.</w:t>
            </w:r>
          </w:p>
        </w:tc>
      </w:tr>
      <w:tr>
        <w:trPr>
          <w:cantSplit/>
        </w:trPr>
        <w:tc>
          <w:tcPr>
            <w:tcW w:type="dxa" w:w="2448"/>
            <w:tcMar>
              <w:top w:w="70" w:type="dxa"/>
              <w:start w:w="80" w:type="dxa"/>
              <w:bottom w:w="70" w:type="dxa"/>
              <w:end w:w="80" w:type="dxa"/>
            </w:tcMar>
            <w:shd w:fill="F4F7FA"/>
          </w:tcPr>
          <w:p>
            <w:r>
              <w:rPr>
                <w:rFonts w:ascii="Aptos" w:hAnsi="Aptos"/>
                <w:b/>
                <w:color w:val="17365D"/>
                <w:sz w:val="16"/>
              </w:rPr>
              <w:t>Search snippets</w:t>
            </w:r>
          </w:p>
        </w:tc>
        <w:tc>
          <w:tcPr>
            <w:tcW w:type="dxa" w:w="1656"/>
            <w:tcMar>
              <w:top w:w="70" w:type="dxa"/>
              <w:start w:w="80" w:type="dxa"/>
              <w:bottom w:w="70" w:type="dxa"/>
              <w:end w:w="80" w:type="dxa"/>
            </w:tcMar>
            <w:shd w:fill="F4F7FA"/>
          </w:tcPr>
          <w:p>
            <w:r>
              <w:rPr>
                <w:rFonts w:ascii="Aptos" w:hAnsi="Aptos"/>
                <w:b w:val="0"/>
                <w:color w:val="1F2933"/>
                <w:sz w:val="16"/>
              </w:rPr>
              <w:t>Discovery only</w:t>
            </w:r>
          </w:p>
        </w:tc>
        <w:tc>
          <w:tcPr>
            <w:tcW w:type="dxa" w:w="5400"/>
            <w:tcMar>
              <w:top w:w="70" w:type="dxa"/>
              <w:start w:w="80" w:type="dxa"/>
              <w:bottom w:w="70" w:type="dxa"/>
              <w:end w:w="80" w:type="dxa"/>
            </w:tcMar>
            <w:shd w:fill="F4F7FA"/>
          </w:tcPr>
          <w:p>
            <w:r>
              <w:rPr>
                <w:rFonts w:ascii="Aptos" w:hAnsi="Aptos"/>
                <w:b w:val="0"/>
                <w:color w:val="1F2933"/>
                <w:sz w:val="16"/>
              </w:rPr>
              <w:t>Do not cite search-result snippets. Open and read the paper or official record before writing substantive claims.</w:t>
            </w:r>
          </w:p>
        </w:tc>
      </w:tr>
    </w:tbl>
    <w:p>
      <w:pPr>
        <w:pStyle w:val="Heading2"/>
        <w:keepNext/>
      </w:pPr>
      <w:r>
        <w:t>Claims to avoid</w:t>
      </w:r>
    </w:p>
    <w:p>
      <w:pPr>
        <w:pStyle w:val="ListBullet"/>
        <w:spacing w:after="50"/>
      </w:pPr>
      <w:r>
        <w:rPr>
          <w:rFonts w:ascii="Aptos" w:hAnsi="Aptos"/>
        </w:rPr>
        <w:t>“No prior study has examined text-rich AI-generated images.” TextFake makes this claim untenable.</w:t>
      </w:r>
    </w:p>
    <w:p>
      <w:pPr>
        <w:pStyle w:val="ListBullet"/>
        <w:spacing w:after="50"/>
      </w:pPr>
      <w:r>
        <w:rPr>
          <w:rFonts w:ascii="Aptos" w:hAnsi="Aptos"/>
        </w:rPr>
        <w:t>“OCR is not used.” A detector or OCR engine may be used for localization; the accurate statement is that recognized text and semantics are excluded from classification features.</w:t>
      </w:r>
    </w:p>
    <w:p>
      <w:pPr>
        <w:pStyle w:val="ListBullet"/>
        <w:spacing w:after="50"/>
      </w:pPr>
      <w:r>
        <w:rPr>
          <w:rFonts w:ascii="Aptos" w:hAnsi="Aptos"/>
        </w:rPr>
        <w:t>“The selected visual features are proven to detect AI-generated text.” The current literature motivates the features; the experiment must test whether they discriminate the target classes.</w:t>
      </w:r>
    </w:p>
    <w:p>
      <w:pPr>
        <w:pStyle w:val="ListBullet"/>
        <w:spacing w:after="50"/>
      </w:pPr>
      <w:r>
        <w:rPr>
          <w:rFonts w:ascii="Aptos" w:hAnsi="Aptos"/>
        </w:rPr>
        <w:t>“High cross-validation accuracy proves real-world performance.” Generalization requires source-aware, cross-generator, and degradation-based evaluation.</w:t>
      </w:r>
    </w:p>
    <w:p>
      <w:pPr>
        <w:pStyle w:val="ListBullet"/>
        <w:spacing w:after="50"/>
      </w:pPr>
      <w:r>
        <w:rPr>
          <w:rFonts w:ascii="Aptos" w:hAnsi="Aptos"/>
        </w:rPr>
        <w:t>“Feature importance establishes causality.” Importance describes model use within the fitted data and can be biased or unstable.</w:t>
      </w:r>
    </w:p>
    <w:p>
      <w:pPr>
        <w:pStyle w:val="ListBullet"/>
        <w:spacing w:after="50"/>
      </w:pPr>
      <w:r>
        <w:rPr>
          <w:rFonts w:ascii="Aptos" w:hAnsi="Aptos"/>
        </w:rPr>
        <w:t>Exact performance numbers that have not been checked in the full paper and matched to the correct dataset, split, and metric.</w:t>
      </w:r>
    </w:p>
    <w:p>
      <w:r>
        <w:br w:type="page"/>
      </w:r>
    </w:p>
    <w:p>
      <w:pPr>
        <w:pStyle w:val="Heading1"/>
        <w:keepNext/>
      </w:pPr>
      <w:r>
        <w:t>9 Next-step checklist</w:t>
      </w:r>
    </w:p>
    <w:p>
      <w:pPr>
        <w:spacing w:after="80"/>
        <w:ind w:left="173" w:hanging="173"/>
      </w:pPr>
      <w:r>
        <w:rPr>
          <w:rFonts w:ascii="Aptos" w:hAnsi="Aptos"/>
          <w:b/>
          <w:color w:val="17365D"/>
        </w:rPr>
        <w:t xml:space="preserve">1. Recover controlling files  </w:t>
      </w:r>
      <w:r>
        <w:rPr>
          <w:rFonts w:ascii="Aptos" w:hAnsi="Aptos"/>
        </w:rPr>
        <w:t>Attach the final Chapter 1 and the professor's Chapter 2 guide. Resolve any conflict in favor of those files and the adviser’s instructions.</w:t>
      </w:r>
    </w:p>
    <w:p>
      <w:pPr>
        <w:spacing w:after="80"/>
        <w:ind w:left="173" w:hanging="173"/>
      </w:pPr>
      <w:r>
        <w:rPr>
          <w:rFonts w:ascii="Aptos" w:hAnsi="Aptos"/>
          <w:b/>
          <w:color w:val="17365D"/>
        </w:rPr>
        <w:t xml:space="preserve">2. Finish APA 7 verification  </w:t>
      </w:r>
      <w:r>
        <w:rPr>
          <w:rFonts w:ascii="Aptos" w:hAnsi="Aptos"/>
        </w:rPr>
        <w:t>For every source, check author order, date, exact title capitalization, venue, volume or proceedings, pages or article number, DOI, and stable URL.</w:t>
      </w:r>
    </w:p>
    <w:p>
      <w:pPr>
        <w:spacing w:after="80"/>
        <w:ind w:left="173" w:hanging="173"/>
      </w:pPr>
      <w:r>
        <w:rPr>
          <w:rFonts w:ascii="Aptos" w:hAnsi="Aptos"/>
          <w:b/>
          <w:color w:val="17365D"/>
        </w:rPr>
        <w:t xml:space="preserve">3. Confirm publication status  </w:t>
      </w:r>
      <w:r>
        <w:rPr>
          <w:rFonts w:ascii="Aptos" w:hAnsi="Aptos"/>
        </w:rPr>
        <w:t>Search specifically for peer-reviewed versions of TextFake and PatchCraft. Keep the preprint label unless verified otherwise.</w:t>
      </w:r>
    </w:p>
    <w:p>
      <w:pPr>
        <w:spacing w:after="80"/>
        <w:ind w:left="173" w:hanging="173"/>
      </w:pPr>
      <w:r>
        <w:rPr>
          <w:rFonts w:ascii="Aptos" w:hAnsi="Aptos"/>
          <w:b/>
          <w:color w:val="17365D"/>
        </w:rPr>
        <w:t xml:space="preserve">4. Create a source-to-section matrix  </w:t>
      </w:r>
      <w:r>
        <w:rPr>
          <w:rFonts w:ascii="Aptos" w:hAnsi="Aptos"/>
        </w:rPr>
        <w:t>Assign each paper to one primary section and record the exact claim, method, limitation, and bridge to the proposed study.</w:t>
      </w:r>
    </w:p>
    <w:p>
      <w:pPr>
        <w:spacing w:after="80"/>
        <w:ind w:left="173" w:hanging="173"/>
      </w:pPr>
      <w:r>
        <w:rPr>
          <w:rFonts w:ascii="Aptos" w:hAnsi="Aptos"/>
          <w:b/>
          <w:color w:val="17365D"/>
        </w:rPr>
        <w:t xml:space="preserve">5. Choose anchor studies  </w:t>
      </w:r>
      <w:r>
        <w:rPr>
          <w:rFonts w:ascii="Aptos" w:hAnsi="Aptos"/>
        </w:rPr>
        <w:t>Use three to five central sources per major theme. Additional papers should add a distinct method, limitation, or evaluation lesson.</w:t>
      </w:r>
    </w:p>
    <w:p>
      <w:pPr>
        <w:spacing w:after="80"/>
        <w:ind w:left="173" w:hanging="173"/>
      </w:pPr>
      <w:r>
        <w:rPr>
          <w:rFonts w:ascii="Aptos" w:hAnsi="Aptos"/>
          <w:b/>
          <w:color w:val="17365D"/>
        </w:rPr>
        <w:t xml:space="preserve">6. Draft Sections 2.1 to 2.8  </w:t>
      </w:r>
      <w:r>
        <w:rPr>
          <w:rFonts w:ascii="Aptos" w:hAnsi="Aptos"/>
        </w:rPr>
        <w:t>Write paragraphs around ideas and comparisons, with citations near the claims they support.</w:t>
      </w:r>
    </w:p>
    <w:p>
      <w:pPr>
        <w:spacing w:after="80"/>
        <w:ind w:left="173" w:hanging="173"/>
      </w:pPr>
      <w:r>
        <w:rPr>
          <w:rFonts w:ascii="Aptos" w:hAnsi="Aptos"/>
          <w:b/>
          <w:color w:val="17365D"/>
        </w:rPr>
        <w:t xml:space="preserve">7. Write synthesis and gap  </w:t>
      </w:r>
      <w:r>
        <w:rPr>
          <w:rFonts w:ascii="Aptos" w:hAnsi="Aptos"/>
        </w:rPr>
        <w:t>Show how general detection, localization, text-region quality, traditional classification, and reliability evidence converge on the narrow research gap.</w:t>
      </w:r>
    </w:p>
    <w:p>
      <w:pPr>
        <w:spacing w:after="80"/>
        <w:ind w:left="173" w:hanging="173"/>
      </w:pPr>
      <w:r>
        <w:rPr>
          <w:rFonts w:ascii="Aptos" w:hAnsi="Aptos"/>
          <w:b/>
          <w:color w:val="17365D"/>
        </w:rPr>
        <w:t xml:space="preserve">8. Develop the conceptual framework  </w:t>
      </w:r>
      <w:r>
        <w:rPr>
          <w:rFonts w:ascii="Aptos" w:hAnsi="Aptos"/>
        </w:rPr>
        <w:t>Describe the flow from labeled images through text localization, visual feature extraction, region aggregation, model training, and evaluation.</w:t>
      </w:r>
    </w:p>
    <w:p>
      <w:pPr>
        <w:spacing w:after="80"/>
        <w:ind w:left="173" w:hanging="173"/>
      </w:pPr>
      <w:r>
        <w:rPr>
          <w:rFonts w:ascii="Aptos" w:hAnsi="Aptos"/>
          <w:b/>
          <w:color w:val="17365D"/>
        </w:rPr>
        <w:t xml:space="preserve">9. Audit consistency  </w:t>
      </w:r>
      <w:r>
        <w:rPr>
          <w:rFonts w:ascii="Aptos" w:hAnsi="Aptos"/>
        </w:rPr>
        <w:t>Verify that every in-text citation appears in the reference list, every reference is cited, terms are consistent, and no source is overstated.</w:t>
      </w:r>
    </w:p>
    <w:p>
      <w:pPr>
        <w:spacing w:after="80"/>
        <w:ind w:left="173" w:hanging="173"/>
      </w:pPr>
      <w:r>
        <w:rPr>
          <w:rFonts w:ascii="Aptos" w:hAnsi="Aptos"/>
          <w:b/>
          <w:color w:val="17365D"/>
        </w:rPr>
        <w:t xml:space="preserve">10. Run a final evidence check  </w:t>
      </w:r>
      <w:r>
        <w:rPr>
          <w:rFonts w:ascii="Aptos" w:hAnsi="Aptos"/>
        </w:rPr>
        <w:t>Open every cited full article and confirm the sentence it supports. Do not rely on abstracts alone for detailed methods or limitations.</w:t>
      </w:r>
    </w:p>
    <w:p>
      <w:pPr>
        <w:pStyle w:val="Heading2"/>
        <w:keepNext/>
      </w:pPr>
      <w:r>
        <w:t>Suggested source-to-section matrix fields</w:t>
      </w:r>
    </w:p>
    <w:p>
      <w:pPr>
        <w:pStyle w:val="ListBullet"/>
        <w:spacing w:after="50"/>
      </w:pPr>
      <w:r>
        <w:rPr>
          <w:rFonts w:ascii="Aptos" w:hAnsi="Aptos"/>
        </w:rPr>
        <w:t>APA reference and stable link</w:t>
      </w:r>
    </w:p>
    <w:p>
      <w:pPr>
        <w:pStyle w:val="ListBullet"/>
        <w:spacing w:after="50"/>
      </w:pPr>
      <w:r>
        <w:rPr>
          <w:rFonts w:ascii="Aptos" w:hAnsi="Aptos"/>
        </w:rPr>
        <w:t>Publication status and evidence of peer review</w:t>
      </w:r>
    </w:p>
    <w:p>
      <w:pPr>
        <w:pStyle w:val="ListBullet"/>
        <w:spacing w:after="50"/>
      </w:pPr>
      <w:r>
        <w:rPr>
          <w:rFonts w:ascii="Aptos" w:hAnsi="Aptos"/>
        </w:rPr>
        <w:t>Primary Chapter 2 section</w:t>
      </w:r>
    </w:p>
    <w:p>
      <w:pPr>
        <w:pStyle w:val="ListBullet"/>
        <w:spacing w:after="50"/>
      </w:pPr>
      <w:r>
        <w:rPr>
          <w:rFonts w:ascii="Aptos" w:hAnsi="Aptos"/>
        </w:rPr>
        <w:t>Research problem and dataset</w:t>
      </w:r>
    </w:p>
    <w:p>
      <w:pPr>
        <w:pStyle w:val="ListBullet"/>
        <w:spacing w:after="50"/>
      </w:pPr>
      <w:r>
        <w:rPr>
          <w:rFonts w:ascii="Aptos" w:hAnsi="Aptos"/>
        </w:rPr>
        <w:t>Method or feature family</w:t>
      </w:r>
    </w:p>
    <w:p>
      <w:pPr>
        <w:pStyle w:val="ListBullet"/>
        <w:spacing w:after="50"/>
      </w:pPr>
      <w:r>
        <w:rPr>
          <w:rFonts w:ascii="Aptos" w:hAnsi="Aptos"/>
        </w:rPr>
        <w:t>Evaluation design and metrics</w:t>
      </w:r>
    </w:p>
    <w:p>
      <w:pPr>
        <w:pStyle w:val="ListBullet"/>
        <w:spacing w:after="50"/>
      </w:pPr>
      <w:r>
        <w:rPr>
          <w:rFonts w:ascii="Aptos" w:hAnsi="Aptos"/>
        </w:rPr>
        <w:t>Finding that can be cited</w:t>
      </w:r>
    </w:p>
    <w:p>
      <w:pPr>
        <w:pStyle w:val="ListBullet"/>
        <w:spacing w:after="50"/>
      </w:pPr>
      <w:r>
        <w:rPr>
          <w:rFonts w:ascii="Aptos" w:hAnsi="Aptos"/>
        </w:rPr>
        <w:t>Limitation or transfer boundary</w:t>
      </w:r>
    </w:p>
    <w:p>
      <w:pPr>
        <w:pStyle w:val="ListBullet"/>
        <w:spacing w:after="50"/>
      </w:pPr>
      <w:r>
        <w:rPr>
          <w:rFonts w:ascii="Aptos" w:hAnsi="Aptos"/>
        </w:rPr>
        <w:t>How it supports or contrasts with the proposed study</w:t>
      </w:r>
    </w:p>
    <w:p>
      <w:pPr>
        <w:pStyle w:val="ListBullet"/>
        <w:spacing w:after="50"/>
      </w:pPr>
      <w:r>
        <w:rPr>
          <w:rFonts w:ascii="Aptos" w:hAnsi="Aptos"/>
        </w:rPr>
        <w:t>Exact page, table, figure, or section used for verification</w:t>
      </w:r>
    </w:p>
    <w:p>
      <w:pPr>
        <w:pStyle w:val="Heading2"/>
        <w:keepNext/>
      </w:pPr>
      <w:r>
        <w:t>Drafting rules for the next AI</w:t>
      </w:r>
    </w:p>
    <w:p>
      <w:pPr>
        <w:pStyle w:val="ListBullet"/>
        <w:spacing w:after="50"/>
      </w:pPr>
      <w:r>
        <w:rPr>
          <w:rFonts w:ascii="Aptos" w:hAnsi="Aptos"/>
        </w:rPr>
        <w:t>Do not restart literature discovery from zero. Verify and organize the existing pool first, then search only to fill a documented gap.</w:t>
      </w:r>
    </w:p>
    <w:p>
      <w:pPr>
        <w:pStyle w:val="ListBullet"/>
        <w:spacing w:after="50"/>
      </w:pPr>
      <w:r>
        <w:rPr>
          <w:rFonts w:ascii="Aptos" w:hAnsi="Aptos"/>
        </w:rPr>
        <w:t>Do not write a sequence of isolated paper summaries. Each paragraph should have a thematic point and compare at least two sources when the evidence allows.</w:t>
      </w:r>
    </w:p>
    <w:p>
      <w:pPr>
        <w:pStyle w:val="ListBullet"/>
        <w:spacing w:after="50"/>
      </w:pPr>
      <w:r>
        <w:rPr>
          <w:rFonts w:ascii="Aptos" w:hAnsi="Aptos"/>
        </w:rPr>
        <w:t>Separate what a paper found from what this study proposes to test.</w:t>
      </w:r>
    </w:p>
    <w:p>
      <w:pPr>
        <w:pStyle w:val="ListBullet"/>
        <w:spacing w:after="50"/>
      </w:pPr>
      <w:r>
        <w:rPr>
          <w:rFonts w:ascii="Aptos" w:hAnsi="Aptos"/>
        </w:rPr>
        <w:t>Keep localization, visual feature extraction, classification, and evaluation as distinct stages.</w:t>
      </w:r>
    </w:p>
    <w:p>
      <w:pPr>
        <w:pStyle w:val="ListBullet"/>
        <w:spacing w:after="50"/>
      </w:pPr>
      <w:r>
        <w:rPr>
          <w:rFonts w:ascii="Aptos" w:hAnsi="Aptos"/>
        </w:rPr>
        <w:t>Prefer primary papers and official publisher or proceedings pages. Google Scholar may be used to discover literature, but legitimacy comes from the work and venue, not from appearing in Scholar.</w:t>
      </w:r>
    </w:p>
    <w:p>
      <w:pPr>
        <w:pStyle w:val="ListBullet"/>
        <w:spacing w:after="50"/>
      </w:pPr>
      <w:r>
        <w:rPr>
          <w:rFonts w:ascii="Aptos" w:hAnsi="Aptos"/>
        </w:rPr>
        <w:t>Use the cautious gap statement in this handoff unless new verified literature requires a narrower version.</w:t>
      </w:r>
    </w:p>
    <w:p>
      <w:pPr>
        <w:pStyle w:val="ListBullet"/>
        <w:spacing w:after="50"/>
      </w:pPr>
      <w:r>
        <w:rPr>
          <w:rFonts w:ascii="Aptos" w:hAnsi="Aptos"/>
        </w:rPr>
        <w:t>Ask the student before changing the algorithms, feature boundary, dataset scope, or contribution claim.</w:t>
      </w:r>
    </w:p>
    <w:p>
      <w:pPr>
        <w:pStyle w:val="Heading1"/>
        <w:keepNext/>
      </w:pPr>
      <w:r>
        <w:t>10 Conceptual framework narrative</w:t>
      </w:r>
    </w:p>
    <w:p>
      <w:r>
        <w:t>The study begins with labeled real and AI-generated images that contain visible text. A localization component identifies text regions without using recognized words as predictive inputs. The system then computes visual measurements from each region, including stroke and shape statistics, spacing and alignment, edge or gradient quality, texture, contrast, sharpness or blur, and density. Region-level measurements are summarized into one fixed-length image-level feature vector. Logistic Regression, SVM, and Random Forest are trained and tuned within leakage-safe folds. The final evaluation compares predictive performance, generalization to unseen generators, robustness to image degradation, and the contribution of individual feature families.</w:t>
      </w:r>
    </w:p>
    <w:tbl>
      <w:tblPr>
        <w:tblW w:type="auto" w:w="0"/>
        <w:jc w:val="center"/>
        <w:tblLayout w:type="fixed"/>
        <w:tblLook w:firstColumn="1" w:firstRow="1" w:lastColumn="0" w:lastRow="0" w:noHBand="0" w:noVBand="1" w:val="04A0"/>
      </w:tblPr>
      <w:tblGrid>
        <w:gridCol w:w="9835"/>
      </w:tblGrid>
      <w:tr>
        <w:tc>
          <w:tcPr>
            <w:tcW w:type="dxa" w:w="9576"/>
            <w:shd w:fill="E2F0D9"/>
            <w:tcMar>
              <w:top w:w="110" w:type="dxa"/>
              <w:start w:w="130" w:type="dxa"/>
              <w:bottom w:w="110" w:type="dxa"/>
              <w:end w:w="130" w:type="dxa"/>
            </w:tcMar>
          </w:tcPr>
          <w:p>
            <w:pPr>
              <w:spacing w:after="0"/>
            </w:pPr>
            <w:r>
              <w:rPr>
                <w:rFonts w:ascii="Aptos" w:hAnsi="Aptos"/>
                <w:b/>
                <w:color w:val="17365D"/>
                <w:sz w:val="18"/>
              </w:rPr>
              <w:t>FRAMEWORK IN ONE LINE</w:t>
              <w:br/>
            </w:r>
            <w:r>
              <w:rPr>
                <w:rFonts w:ascii="Aptos" w:hAnsi="Aptos"/>
                <w:color w:val="1F2933"/>
                <w:sz w:val="18"/>
              </w:rPr>
              <w:t>Labeled text-containing images → text-region localization → non-semantic visual feature extraction → image-level aggregation → LR, SVM, and RF classification → standard, cross-generator, degradation, and ablation evaluation</w:t>
            </w:r>
          </w:p>
        </w:tc>
      </w:tr>
    </w:tbl>
    <w:p>
      <w:pPr>
        <w:pStyle w:val="Heading2"/>
        <w:keepNext/>
      </w:pPr>
      <w:r>
        <w:t>Variables and outputs</w:t>
      </w:r>
    </w:p>
    <w:tbl>
      <w:tblPr>
        <w:tblW w:type="auto" w:w="0"/>
        <w:jc w:val="center"/>
        <w:tblLayout w:type="fixed"/>
        <w:tblLook w:firstColumn="1" w:firstRow="1" w:lastColumn="0" w:lastRow="0" w:noHBand="0" w:noVBand="1" w:val="04A0"/>
      </w:tblPr>
      <w:tblGrid>
        <w:gridCol w:w="4917"/>
        <w:gridCol w:w="4917"/>
      </w:tblGrid>
      <w:tr>
        <w:tc>
          <w:tcPr>
            <w:tcW w:type="dxa" w:w="2232"/>
            <w:shd w:fill="D9EAF7"/>
            <w:tcMar>
              <w:top w:w="70" w:type="dxa"/>
              <w:start w:w="80" w:type="dxa"/>
              <w:bottom w:w="70" w:type="dxa"/>
              <w:end w:w="80" w:type="dxa"/>
            </w:tcMar>
          </w:tcPr>
          <w:p>
            <w:r>
              <w:rPr>
                <w:rFonts w:ascii="Aptos" w:hAnsi="Aptos"/>
                <w:b/>
                <w:color w:val="17365D"/>
                <w:sz w:val="17"/>
              </w:rPr>
              <w:t>Input</w:t>
            </w:r>
          </w:p>
        </w:tc>
        <w:tc>
          <w:tcPr>
            <w:tcW w:type="dxa" w:w="7272"/>
            <w:tcMar>
              <w:top w:w="70" w:type="dxa"/>
              <w:start w:w="80" w:type="dxa"/>
              <w:bottom w:w="70" w:type="dxa"/>
              <w:end w:w="80" w:type="dxa"/>
            </w:tcMar>
          </w:tcPr>
          <w:p>
            <w:r>
              <w:rPr>
                <w:rFonts w:ascii="Aptos" w:hAnsi="Aptos"/>
                <w:sz w:val="17"/>
              </w:rPr>
              <w:t>Real and AI-generated text-containing images plus provenance and group identifiers.</w:t>
            </w:r>
          </w:p>
        </w:tc>
      </w:tr>
      <w:tr>
        <w:tc>
          <w:tcPr>
            <w:tcW w:type="dxa" w:w="2232"/>
            <w:shd w:fill="D9EAF7"/>
            <w:tcMar>
              <w:top w:w="70" w:type="dxa"/>
              <w:start w:w="80" w:type="dxa"/>
              <w:bottom w:w="70" w:type="dxa"/>
              <w:end w:w="80" w:type="dxa"/>
            </w:tcMar>
          </w:tcPr>
          <w:p>
            <w:r>
              <w:rPr>
                <w:rFonts w:ascii="Aptos" w:hAnsi="Aptos"/>
                <w:b/>
                <w:color w:val="17365D"/>
                <w:sz w:val="17"/>
              </w:rPr>
              <w:t>Independent information</w:t>
            </w:r>
          </w:p>
        </w:tc>
        <w:tc>
          <w:tcPr>
            <w:tcW w:type="dxa" w:w="7272"/>
            <w:shd w:fill="F4F7FA"/>
            <w:tcMar>
              <w:top w:w="70" w:type="dxa"/>
              <w:start w:w="80" w:type="dxa"/>
              <w:bottom w:w="70" w:type="dxa"/>
              <w:end w:w="80" w:type="dxa"/>
            </w:tcMar>
          </w:tcPr>
          <w:p>
            <w:r>
              <w:rPr>
                <w:rFonts w:ascii="Aptos" w:hAnsi="Aptos"/>
                <w:sz w:val="17"/>
              </w:rPr>
              <w:t>Aggregated visual text-region feature vector.</w:t>
            </w:r>
          </w:p>
        </w:tc>
      </w:tr>
      <w:tr>
        <w:tc>
          <w:tcPr>
            <w:tcW w:type="dxa" w:w="2232"/>
            <w:shd w:fill="D9EAF7"/>
            <w:tcMar>
              <w:top w:w="70" w:type="dxa"/>
              <w:start w:w="80" w:type="dxa"/>
              <w:bottom w:w="70" w:type="dxa"/>
              <w:end w:w="80" w:type="dxa"/>
            </w:tcMar>
          </w:tcPr>
          <w:p>
            <w:r>
              <w:rPr>
                <w:rFonts w:ascii="Aptos" w:hAnsi="Aptos"/>
                <w:b/>
                <w:color w:val="17365D"/>
                <w:sz w:val="17"/>
              </w:rPr>
              <w:t>Models</w:t>
            </w:r>
          </w:p>
        </w:tc>
        <w:tc>
          <w:tcPr>
            <w:tcW w:type="dxa" w:w="7272"/>
            <w:tcMar>
              <w:top w:w="70" w:type="dxa"/>
              <w:start w:w="80" w:type="dxa"/>
              <w:bottom w:w="70" w:type="dxa"/>
              <w:end w:w="80" w:type="dxa"/>
            </w:tcMar>
          </w:tcPr>
          <w:p>
            <w:r>
              <w:rPr>
                <w:rFonts w:ascii="Aptos" w:hAnsi="Aptos"/>
                <w:sz w:val="17"/>
              </w:rPr>
              <w:t>Logistic Regression, Support Vector Machine, and Random Forest.</w:t>
            </w:r>
          </w:p>
        </w:tc>
      </w:tr>
      <w:tr>
        <w:tc>
          <w:tcPr>
            <w:tcW w:type="dxa" w:w="2232"/>
            <w:shd w:fill="D9EAF7"/>
            <w:tcMar>
              <w:top w:w="70" w:type="dxa"/>
              <w:start w:w="80" w:type="dxa"/>
              <w:bottom w:w="70" w:type="dxa"/>
              <w:end w:w="80" w:type="dxa"/>
            </w:tcMar>
          </w:tcPr>
          <w:p>
            <w:r>
              <w:rPr>
                <w:rFonts w:ascii="Aptos" w:hAnsi="Aptos"/>
                <w:b/>
                <w:color w:val="17365D"/>
                <w:sz w:val="17"/>
              </w:rPr>
              <w:t>Primary outcome</w:t>
            </w:r>
          </w:p>
        </w:tc>
        <w:tc>
          <w:tcPr>
            <w:tcW w:type="dxa" w:w="7272"/>
            <w:shd w:fill="F4F7FA"/>
            <w:tcMar>
              <w:top w:w="70" w:type="dxa"/>
              <w:start w:w="80" w:type="dxa"/>
              <w:bottom w:w="70" w:type="dxa"/>
              <w:end w:w="80" w:type="dxa"/>
            </w:tcMar>
          </w:tcPr>
          <w:p>
            <w:r>
              <w:rPr>
                <w:rFonts w:ascii="Aptos" w:hAnsi="Aptos"/>
                <w:sz w:val="17"/>
              </w:rPr>
              <w:t>Predicted class and probability or decision score.</w:t>
            </w:r>
          </w:p>
        </w:tc>
      </w:tr>
      <w:tr>
        <w:tc>
          <w:tcPr>
            <w:tcW w:type="dxa" w:w="2232"/>
            <w:shd w:fill="D9EAF7"/>
            <w:tcMar>
              <w:top w:w="70" w:type="dxa"/>
              <w:start w:w="80" w:type="dxa"/>
              <w:bottom w:w="70" w:type="dxa"/>
              <w:end w:w="80" w:type="dxa"/>
            </w:tcMar>
          </w:tcPr>
          <w:p>
            <w:r>
              <w:rPr>
                <w:rFonts w:ascii="Aptos" w:hAnsi="Aptos"/>
                <w:b/>
                <w:color w:val="17365D"/>
                <w:sz w:val="17"/>
              </w:rPr>
              <w:t>Evaluation outcomes</w:t>
            </w:r>
          </w:p>
        </w:tc>
        <w:tc>
          <w:tcPr>
            <w:tcW w:type="dxa" w:w="7272"/>
            <w:tcMar>
              <w:top w:w="70" w:type="dxa"/>
              <w:start w:w="80" w:type="dxa"/>
              <w:bottom w:w="70" w:type="dxa"/>
              <w:end w:w="80" w:type="dxa"/>
            </w:tcMar>
          </w:tcPr>
          <w:p>
            <w:r>
              <w:rPr>
                <w:rFonts w:ascii="Aptos" w:hAnsi="Aptos"/>
                <w:sz w:val="17"/>
              </w:rPr>
              <w:t>Accuracy, precision, recall, F1, confusion matrix, balanced accuracy, MCC, PR-AUC or AP, per-generator results, degradation robustness, and ablation changes.</w:t>
            </w:r>
          </w:p>
        </w:tc>
      </w:tr>
      <w:tr>
        <w:tc>
          <w:tcPr>
            <w:tcW w:type="dxa" w:w="2232"/>
            <w:shd w:fill="D9EAF7"/>
            <w:tcMar>
              <w:top w:w="70" w:type="dxa"/>
              <w:start w:w="80" w:type="dxa"/>
              <w:bottom w:w="70" w:type="dxa"/>
              <w:end w:w="80" w:type="dxa"/>
            </w:tcMar>
          </w:tcPr>
          <w:p>
            <w:r>
              <w:rPr>
                <w:rFonts w:ascii="Aptos" w:hAnsi="Aptos"/>
                <w:b/>
                <w:color w:val="17365D"/>
                <w:sz w:val="17"/>
              </w:rPr>
              <w:t>Controlled exclusions</w:t>
            </w:r>
          </w:p>
        </w:tc>
        <w:tc>
          <w:tcPr>
            <w:tcW w:type="dxa" w:w="7272"/>
            <w:shd w:fill="F4F7FA"/>
            <w:tcMar>
              <w:top w:w="70" w:type="dxa"/>
              <w:start w:w="80" w:type="dxa"/>
              <w:bottom w:w="70" w:type="dxa"/>
              <w:end w:w="80" w:type="dxa"/>
            </w:tcMar>
          </w:tcPr>
          <w:p>
            <w:r>
              <w:rPr>
                <w:rFonts w:ascii="Aptos" w:hAnsi="Aptos"/>
                <w:sz w:val="17"/>
              </w:rPr>
              <w:t>Recognized text and all semantic or linguistic content.</w:t>
            </w:r>
          </w:p>
        </w:tc>
      </w:tr>
    </w:tbl>
    <w:p>
      <w:pPr>
        <w:pStyle w:val="Heading1"/>
        <w:keepNext/>
      </w:pPr>
      <w:r>
        <w:t>11 What is not preserved in this handoff</w:t>
      </w:r>
    </w:p>
    <w:p>
      <w:r>
        <w:t>This file preserves the decisions and research state from the conversation, but it is not a substitute for the original project documents. The exact wording, tables, definitions, institutional format, and adviser annotations from Chapter 1 and the Chapter 2 guide were not available as separate files while this handoff was generated. A future AI should request those documents if they are not attached and should not fabricate missing institutional requirements.</w:t>
      </w:r>
    </w:p>
    <w:tbl>
      <w:tblPr>
        <w:tblW w:type="auto" w:w="0"/>
        <w:jc w:val="center"/>
        <w:tblLayout w:type="fixed"/>
        <w:tblLook w:firstColumn="1" w:firstRow="1" w:lastColumn="0" w:lastRow="0" w:noHBand="0" w:noVBand="1" w:val="04A0"/>
      </w:tblPr>
      <w:tblGrid>
        <w:gridCol w:w="9835"/>
      </w:tblGrid>
      <w:tr>
        <w:tc>
          <w:tcPr>
            <w:tcW w:type="dxa" w:w="9576"/>
            <w:shd w:fill="FFF2CC"/>
            <w:tcMar>
              <w:top w:w="110" w:type="dxa"/>
              <w:start w:w="130" w:type="dxa"/>
              <w:bottom w:w="110" w:type="dxa"/>
              <w:end w:w="130" w:type="dxa"/>
            </w:tcMar>
          </w:tcPr>
          <w:p>
            <w:pPr>
              <w:spacing w:after="0"/>
            </w:pPr>
            <w:r>
              <w:rPr>
                <w:rFonts w:ascii="Aptos" w:hAnsi="Aptos"/>
                <w:b/>
                <w:color w:val="17365D"/>
                <w:sz w:val="18"/>
              </w:rPr>
              <w:t>FINAL CONTINUITY RULE</w:t>
              <w:br/>
            </w:r>
            <w:r>
              <w:rPr>
                <w:rFonts w:ascii="Aptos" w:hAnsi="Aptos"/>
                <w:color w:val="1F2933"/>
                <w:sz w:val="18"/>
              </w:rPr>
              <w:t>Treat this handoff as the working research record. Treat the student's latest approved proposal, Chapter 1, Chapter 2 guide, and adviser feedback as the controlling sources whenever they differ from this document.</w:t>
            </w:r>
          </w:p>
        </w:tc>
      </w:tr>
    </w:tbl>
    <w:sectPr w:rsidR="00FC693F" w:rsidRPr="0006063C" w:rsidSect="00034616">
      <w:headerReference w:type="default" r:id="rId9"/>
      <w:footerReference w:type="default" r:id="rId10"/>
      <w:pgSz w:w="11909" w:h="16834"/>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4"/>
      </w:rPr>
      <w:t>Continuity file • Prepared 19 September 2026 • Verify time-sensitive metadata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D9E1E8"/>
      </w:pBdr>
    </w:pPr>
    <w:r>
      <w:rPr>
        <w:rFonts w:ascii="Aptos" w:hAnsi="Aptos"/>
        <w:b/>
        <w:color w:val="5B6573"/>
        <w:sz w:val="15"/>
      </w:rPr>
      <w:t>CHAPTER 2 RESEARCH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apers.nips.cc/paper/2023/hash/f4d4a021f9051a6c18183b059117e8b5-Abstract-Datasets_and_Benchmarks.html" TargetMode="External"/><Relationship Id="rId12" Type="http://schemas.openxmlformats.org/officeDocument/2006/relationships/hyperlink" Target="https://openaccess.thecvf.com/content/CVPR2023/html/Ojha_Towards_Universal_Fake_Image_Detectors_That_Generalize_Across_Generative_Models_CVPR_2023_paper.html" TargetMode="External"/><Relationship Id="rId13" Type="http://schemas.openxmlformats.org/officeDocument/2006/relationships/hyperlink" Target="https://openreview.net/forum?id=FSB1dyK3ik" TargetMode="External"/><Relationship Id="rId14" Type="http://schemas.openxmlformats.org/officeDocument/2006/relationships/hyperlink" Target="https://openaccess.thecvf.com/content/CVPR2025/html/Park_Community_Forensics_Using_Thousands_of_Generators_to_Train_Fake_Image_CVPR_2025_paper.html" TargetMode="External"/><Relationship Id="rId15" Type="http://schemas.openxmlformats.org/officeDocument/2006/relationships/hyperlink" Target="https://openaccess.thecvf.com/content/WACV2025/html/Gye_Reducing_the_Content_Bias_for_AI-Generated_Image_Detection_WACV_2025_paper.html" TargetMode="External"/><Relationship Id="rId16" Type="http://schemas.openxmlformats.org/officeDocument/2006/relationships/hyperlink" Target="https://openaccess.thecvf.com/content/ICCV2025/html/Li_Bridging_the_Gap_Between_Ideal_and_Real-world_Evaluation_Benchmarking_AI-Generated_ICCV_2025_paper.html" TargetMode="External"/><Relationship Id="rId17" Type="http://schemas.openxmlformats.org/officeDocument/2006/relationships/hyperlink" Target="https://ieeexplore.ieee.org/document/10409290" TargetMode="External"/><Relationship Id="rId18" Type="http://schemas.openxmlformats.org/officeDocument/2006/relationships/hyperlink" Target="https://arxiv.org/html/2606.01050" TargetMode="External"/><Relationship Id="rId19" Type="http://schemas.openxmlformats.org/officeDocument/2006/relationships/hyperlink" Target="https://ieeexplore.ieee.org/document/9726868" TargetMode="External"/><Relationship Id="rId20" Type="http://schemas.openxmlformats.org/officeDocument/2006/relationships/hyperlink" Target="https://openaccess.thecvf.com/content/ICCV2021/html/Zhang_Adaptive_Boundary_Proposal_Network_for_Arbitrary_Shape_Text_Detection_ICCV_2021_paper.html" TargetMode="External"/><Relationship Id="rId21" Type="http://schemas.openxmlformats.org/officeDocument/2006/relationships/hyperlink" Target="https://openaccess.thecvf.com/content_CVPR_2019/html/Baek_Character_Region_Awareness_for_Text_Detection_CVPR_2019_paper.html" TargetMode="External"/><Relationship Id="rId22" Type="http://schemas.openxmlformats.org/officeDocument/2006/relationships/hyperlink" Target="https://www.microsoft.com/en-us/research/wp-content/uploads/2016/02/201020CVPR20TextDetection.pdf" TargetMode="External"/><Relationship Id="rId23" Type="http://schemas.openxmlformats.org/officeDocument/2006/relationships/hyperlink" Target="https://arxiv.org/pdf/1807.04047.pdf" TargetMode="External"/><Relationship Id="rId24" Type="http://schemas.openxmlformats.org/officeDocument/2006/relationships/hyperlink" Target="https://www.ecva.net/papers/eccv_2020/papers_ECCV/papers/123710103.pdf" TargetMode="External"/><Relationship Id="rId25" Type="http://schemas.openxmlformats.org/officeDocument/2006/relationships/hyperlink" Target="https://openaccess.thecvf.com/content/CVPR2023/html/Tan_Learning_on_Gradients_Generalized_Artifacts_Representation_for_GAN-Generated_Images_Detection_CVPR_2023_paper.html" TargetMode="External"/><Relationship Id="rId26" Type="http://schemas.openxmlformats.org/officeDocument/2006/relationships/hyperlink" Target="https://openaccess.thecvf.com/content/CVPR2024/html/Tan_Rethinking_the_Up-Sampling_Operations_in_CNN-based_Generative_Network_for_Generalizable_CVPR_2024_paper.html" TargetMode="External"/><Relationship Id="rId27" Type="http://schemas.openxmlformats.org/officeDocument/2006/relationships/hyperlink" Target="https://openaccess.thecvf.com/content/WACV2024/html/Sinitsa_Deep_Image_Fingerprint_Towards_Low_Budget_Synthetic_Image_Detection_and_WACV_2024_paper.html" TargetMode="External"/><Relationship Id="rId28" Type="http://schemas.openxmlformats.org/officeDocument/2006/relationships/hyperlink" Target="https://openaccess.thecvf.com/content/ICCV2023/html/Wang_DIRE_for_Diffusion-Generated_Image_Detection_ICCV_2023_paper.html" TargetMode="External"/><Relationship Id="rId29" Type="http://schemas.openxmlformats.org/officeDocument/2006/relationships/hyperlink" Target="https://openaccess.thecvf.com/content/CVPR2024/html/Ricker_AEROBLADE_Training-Free_Detection_of_Latent_Diffusion_Images_Using_Autoencoder_Reconstruction_CVPR_2024_paper.html" TargetMode="External"/><Relationship Id="rId30" Type="http://schemas.openxmlformats.org/officeDocument/2006/relationships/hyperlink" Target="https://arxiv.org/abs/2311.12397v3" TargetMode="External"/><Relationship Id="rId31" Type="http://schemas.openxmlformats.org/officeDocument/2006/relationships/hyperlink" Target="https://link.springer.com/article/10.1007/s11042-022-12661-1" TargetMode="External"/><Relationship Id="rId32" Type="http://schemas.openxmlformats.org/officeDocument/2006/relationships/hyperlink" Target="https://link.springer.com/chapter/10.1007/978-3-031-48232-8_48" TargetMode="External"/><Relationship Id="rId33" Type="http://schemas.openxmlformats.org/officeDocument/2006/relationships/hyperlink" Target="https://link.springer.com/article/10.1007/s00138-019-01048-2" TargetMode="External"/><Relationship Id="rId34" Type="http://schemas.openxmlformats.org/officeDocument/2006/relationships/hyperlink" Target="https://academic.oup.com/jrsssb/article/20/2/215/7027376" TargetMode="External"/><Relationship Id="rId35" Type="http://schemas.openxmlformats.org/officeDocument/2006/relationships/hyperlink" Target="https://link.springer.com/article/10.1007/BF00994018" TargetMode="External"/><Relationship Id="rId36" Type="http://schemas.openxmlformats.org/officeDocument/2006/relationships/hyperlink" Target="https://link.springer.com/article/10.1023/A%3A1010933404324" TargetMode="External"/><Relationship Id="rId37" Type="http://schemas.openxmlformats.org/officeDocument/2006/relationships/hyperlink" Target="https://pubmed.ncbi.nlm.nih.gov/37720327/" TargetMode="External"/><Relationship Id="rId38" Type="http://schemas.openxmlformats.org/officeDocument/2006/relationships/hyperlink" Target="https://www.nature.com/articles/s41597-022-01618-6" TargetMode="External"/><Relationship Id="rId39" Type="http://schemas.openxmlformats.org/officeDocument/2006/relationships/hyperlink" Target="https://link.springer.com/article/10.1186/1471-2105-7-91" TargetMode="External"/><Relationship Id="rId40" Type="http://schemas.openxmlformats.org/officeDocument/2006/relationships/hyperlink" Target="https://proceedings.neurips.cc/paper/2021/file/8e489b4966fe8f703b5be647f1cbae63-Paper.pdf" TargetMode="External"/><Relationship Id="rId41" Type="http://schemas.openxmlformats.org/officeDocument/2006/relationships/hyperlink" Target="https://journals.plos.org/plosone/article?id=10.1371/journal.pone.0118432" TargetMode="External"/><Relationship Id="rId42" Type="http://schemas.openxmlformats.org/officeDocument/2006/relationships/hyperlink" Target="https://link.springer.com/article/10.1007/s10462-024-107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Research Handoff</dc:title>
  <dc:subject>AI-generated and real text-containing image classification thesis continuity file</dc:subject>
  <dc:creator>Prepared for the student</dc:creator>
  <cp:keywords>Chapter 2, literature review, AI-generated images, text regions, machine learning, handoff</cp:keywords>
  <dc:description>generated by python-docx</dc:description>
  <cp:lastModifiedBy/>
  <cp:revision>1</cp:revision>
  <dcterms:created xsi:type="dcterms:W3CDTF">2013-12-23T23:15:00Z</dcterms:created>
  <dcterms:modified xsi:type="dcterms:W3CDTF">2013-12-23T23:15:00Z</dcterms:modified>
  <cp:category/>
</cp:coreProperties>
</file>