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pBdr>
          <w:bottom w:val="single" w:color="1A237E" w:sz="18" w:space="8"/>
        </w:pBdr>
        <w:spacing w:after="60" w:before="0" w:line="264"/>
      </w:pPr>
      <w:r>
        <w:rPr>
          <w:b/>
          <w:bCs/>
          <w:spacing w:val="30"/>
          <w:color w:val="1A237E"/>
          <w:sz w:val="26"/>
          <w:szCs w:val="26"/>
        </w:rPr>
        <w:t xml:space="preserve">MCLAREN STRATEGIC SOLUTIONS</w:t>
      </w:r>
    </w:p>
    <w:p>
      <w:pPr>
        <w:spacing w:after="380" w:before="0" w:line="264"/>
      </w:pPr>
      <w:r>
        <w:rPr>
          <w:color w:val="455A64"/>
          <w:sz w:val="20"/>
          <w:szCs w:val="20"/>
        </w:rPr>
        <w:t xml:space="preserve">Ohio Medicaid Fiscal Intermediary — CEF Platform</w:t>
      </w:r>
    </w:p>
    <w:p>
      <w:pPr>
        <w:spacing w:after="60" w:before="0" w:line="264"/>
      </w:pPr>
      <w:r>
        <w:rPr>
          <w:b/>
          <w:bCs/>
          <w:color w:val="1A237E"/>
          <w:sz w:val="48"/>
          <w:szCs w:val="48"/>
        </w:rPr>
        <w:t xml:space="preserve">Target State Architecture</w:t>
      </w:r>
    </w:p>
    <w:p>
      <w:pPr>
        <w:spacing w:after="100" w:before="0" w:line="264"/>
      </w:pPr>
      <w:r>
        <w:rPr>
          <w:color w:val="00695C"/>
          <w:sz w:val="28"/>
          <w:szCs w:val="28"/>
        </w:rPr>
        <w:t xml:space="preserve">C4 view pack and container traceability — repository-preserving</w:t>
      </w:r>
    </w:p>
    <w:p>
      <w:pPr>
        <w:spacing w:after="420" w:before="0" w:line="264"/>
      </w:pPr>
      <w:r>
        <w:rPr>
          <w:i/>
          <w:iCs/>
          <w:color w:val="455A64"/>
          <w:sz w:val="20"/>
          <w:szCs w:val="20"/>
        </w:rPr>
        <w:t xml:space="preserve">Target-state counterpart to CEF-CAP-TAD-001, drawn to the same conventions and container identifiers</w:t>
      </w:r>
    </w:p>
    <w:tbl>
      <w:tblPr>
        <w:tblW w:type="dxa" w:w="10080"/>
        <w:tblBorders>
          <w:top w:val="single" w:color="9FA8DA" w:sz="4"/>
          <w:left w:val="single" w:color="9FA8DA" w:sz="4"/>
          <w:bottom w:val="single" w:color="9FA8DA" w:sz="4"/>
          <w:right w:val="single" w:color="9FA8DA" w:sz="4"/>
          <w:insideH w:val="single" w:color="C5CAE9" w:sz="2"/>
          <w:insideV w:val="single" w:color="C5CAE9" w:sz="2"/>
        </w:tblBorders>
      </w:tblPr>
      <w:tblGrid>
        <w:gridCol w:w="1800"/>
        <w:gridCol w:w="8280"/>
      </w:tblGrid>
      <w:tr>
        <w:trPr>
          <w:tblHeader/>
          <w:cantSplit/>
        </w:trPr>
        <w:tc>
          <w:tcPr>
            <w:tcW w:type="dxa" w:w="1800"/>
            <w:shd w:fill="1A237E" w:color="auto" w:val="clear"/>
            <w:tcMar>
              <w:top w:type="dxa" w:w="70"/>
              <w:left w:type="dxa" w:w="100"/>
              <w:bottom w:type="dxa" w:w="70"/>
              <w:right w:type="dxa" w:w="100"/>
            </w:tcMar>
            <w:vAlign w:val="center"/>
          </w:tcPr>
          <w:p>
            <w:pPr>
              <w:spacing w:after="0" w:before="0" w:line="252"/>
            </w:pPr>
            <w:r>
              <w:rPr>
                <w:b/>
                <w:bCs/>
                <w:color w:val="FFFFFF"/>
                <w:sz w:val="17"/>
                <w:szCs w:val="17"/>
              </w:rPr>
              <w:t xml:space="preserve">Field</w:t>
            </w:r>
          </w:p>
        </w:tc>
        <w:tc>
          <w:tcPr>
            <w:tcW w:type="dxa" w:w="8280"/>
            <w:shd w:fill="1A237E" w:color="auto" w:val="clear"/>
            <w:tcMar>
              <w:top w:type="dxa" w:w="70"/>
              <w:left w:type="dxa" w:w="100"/>
              <w:bottom w:type="dxa" w:w="70"/>
              <w:right w:type="dxa" w:w="100"/>
            </w:tcMar>
            <w:vAlign w:val="center"/>
          </w:tcPr>
          <w:p>
            <w:pPr>
              <w:spacing w:after="0" w:before="0" w:line="252"/>
            </w:pPr>
            <w:r>
              <w:rPr>
                <w:b/>
                <w:bCs/>
                <w:color w:val="FFFFFF"/>
                <w:sz w:val="17"/>
                <w:szCs w:val="17"/>
              </w:rPr>
              <w:t xml:space="preserve">Value</w:t>
            </w:r>
          </w:p>
        </w:tc>
      </w:tr>
      <w:tr>
        <w:tc>
          <w:tcPr>
            <w:tcW w:type="dxa" w:w="1800"/>
            <w:shd w:fill="F5F6FA" w:color="auto" w:val="clear"/>
            <w:tcMar>
              <w:top w:type="dxa" w:w="70"/>
              <w:left w:type="dxa" w:w="100"/>
              <w:bottom w:type="dxa" w:w="70"/>
              <w:right w:type="dxa" w:w="100"/>
            </w:tcMar>
          </w:tcPr>
          <w:p>
            <w:pPr>
              <w:spacing w:after="0" w:before="0" w:line="252"/>
            </w:pPr>
            <w:r>
              <w:rPr>
                <w:b/>
                <w:bCs/>
                <w:color w:val="1F2430"/>
                <w:sz w:val="17"/>
                <w:szCs w:val="17"/>
              </w:rPr>
              <w:t xml:space="preserve">Document ID</w:t>
            </w:r>
          </w:p>
        </w:tc>
        <w:tc>
          <w:tcPr>
            <w:tcW w:type="dxa" w:w="8280"/>
            <w:tcMar>
              <w:top w:type="dxa" w:w="70"/>
              <w:left w:type="dxa" w:w="100"/>
              <w:bottom w:type="dxa" w:w="70"/>
              <w:right w:type="dxa" w:w="100"/>
            </w:tcMar>
          </w:tcPr>
          <w:p>
            <w:pPr>
              <w:spacing w:after="0" w:before="0" w:line="252"/>
            </w:pPr>
            <w:r>
              <w:rPr>
                <w:color w:val="1F2430"/>
                <w:sz w:val="17"/>
                <w:szCs w:val="17"/>
              </w:rPr>
              <w:t xml:space="preserve">CEF-MOD-TAD-001</w:t>
            </w:r>
          </w:p>
        </w:tc>
      </w:tr>
      <w:tr>
        <w:tc>
          <w:tcPr>
            <w:tcW w:type="dxa" w:w="1800"/>
            <w:shd w:fill="F5F6FA" w:color="auto" w:val="clear"/>
            <w:tcMar>
              <w:top w:type="dxa" w:w="70"/>
              <w:left w:type="dxa" w:w="100"/>
              <w:bottom w:type="dxa" w:w="70"/>
              <w:right w:type="dxa" w:w="100"/>
            </w:tcMar>
          </w:tcPr>
          <w:p>
            <w:pPr>
              <w:spacing w:after="0" w:before="0" w:line="252"/>
            </w:pPr>
            <w:r>
              <w:rPr>
                <w:b/>
                <w:bCs/>
                <w:color w:val="1F2430"/>
                <w:sz w:val="17"/>
                <w:szCs w:val="17"/>
              </w:rPr>
              <w:t xml:space="preserve">Revision</w:t>
            </w:r>
          </w:p>
        </w:tc>
        <w:tc>
          <w:tcPr>
            <w:tcW w:type="dxa" w:w="8280"/>
            <w:tcMar>
              <w:top w:type="dxa" w:w="70"/>
              <w:left w:type="dxa" w:w="100"/>
              <w:bottom w:type="dxa" w:w="70"/>
              <w:right w:type="dxa" w:w="100"/>
            </w:tcMar>
          </w:tcPr>
          <w:p>
            <w:pPr>
              <w:spacing w:after="0" w:before="0" w:line="252"/>
            </w:pPr>
            <w:r>
              <w:rPr>
                <w:color w:val="1F2430"/>
                <w:sz w:val="17"/>
                <w:szCs w:val="17"/>
              </w:rPr>
              <w:t xml:space="preserve">rev 3.0 — DRAFT</w:t>
            </w:r>
          </w:p>
        </w:tc>
      </w:tr>
      <w:tr>
        <w:tc>
          <w:tcPr>
            <w:tcW w:type="dxa" w:w="1800"/>
            <w:shd w:fill="F5F6FA" w:color="auto" w:val="clear"/>
            <w:tcMar>
              <w:top w:type="dxa" w:w="70"/>
              <w:left w:type="dxa" w:w="100"/>
              <w:bottom w:type="dxa" w:w="70"/>
              <w:right w:type="dxa" w:w="100"/>
            </w:tcMar>
          </w:tcPr>
          <w:p>
            <w:pPr>
              <w:spacing w:after="0" w:before="0" w:line="252"/>
            </w:pPr>
            <w:r>
              <w:rPr>
                <w:b/>
                <w:bCs/>
                <w:color w:val="1F2430"/>
                <w:sz w:val="17"/>
                <w:szCs w:val="17"/>
              </w:rPr>
              <w:t xml:space="preserve">Date</w:t>
            </w:r>
          </w:p>
        </w:tc>
        <w:tc>
          <w:tcPr>
            <w:tcW w:type="dxa" w:w="8280"/>
            <w:tcMar>
              <w:top w:type="dxa" w:w="70"/>
              <w:left w:type="dxa" w:w="100"/>
              <w:bottom w:type="dxa" w:w="70"/>
              <w:right w:type="dxa" w:w="100"/>
            </w:tcMar>
          </w:tcPr>
          <w:p>
            <w:pPr>
              <w:spacing w:after="0" w:before="0" w:line="252"/>
            </w:pPr>
            <w:r>
              <w:rPr>
                <w:color w:val="1F2430"/>
                <w:sz w:val="17"/>
                <w:szCs w:val="17"/>
              </w:rPr>
              <w:t xml:space="preserve">8 September 2026</w:t>
            </w:r>
          </w:p>
        </w:tc>
      </w:tr>
      <w:tr>
        <w:tc>
          <w:tcPr>
            <w:tcW w:type="dxa" w:w="1800"/>
            <w:shd w:fill="F5F6FA" w:color="auto" w:val="clear"/>
            <w:tcMar>
              <w:top w:type="dxa" w:w="70"/>
              <w:left w:type="dxa" w:w="100"/>
              <w:bottom w:type="dxa" w:w="70"/>
              <w:right w:type="dxa" w:w="100"/>
            </w:tcMar>
          </w:tcPr>
          <w:p>
            <w:pPr>
              <w:spacing w:after="0" w:before="0" w:line="252"/>
            </w:pPr>
            <w:r>
              <w:rPr>
                <w:b/>
                <w:bCs/>
                <w:color w:val="1F2430"/>
                <w:sz w:val="17"/>
                <w:szCs w:val="17"/>
              </w:rPr>
              <w:t xml:space="preserve">Parent instrument</w:t>
            </w:r>
          </w:p>
        </w:tc>
        <w:tc>
          <w:tcPr>
            <w:tcW w:type="dxa" w:w="8280"/>
            <w:tcMar>
              <w:top w:type="dxa" w:w="70"/>
              <w:left w:type="dxa" w:w="100"/>
              <w:bottom w:type="dxa" w:w="70"/>
              <w:right w:type="dxa" w:w="100"/>
            </w:tcMar>
          </w:tcPr>
          <w:p>
            <w:pPr>
              <w:spacing w:after="0" w:before="0" w:line="252"/>
            </w:pPr>
            <w:r>
              <w:rPr>
                <w:color w:val="1F2430"/>
                <w:sz w:val="17"/>
                <w:szCs w:val="17"/>
              </w:rPr>
              <w:t xml:space="preserve">CEF-CAP-TAD-001 — Capitation E2E Current State v4. Container IDs, conventions and findings are inherited from it.</w:t>
            </w:r>
          </w:p>
        </w:tc>
      </w:tr>
      <w:tr>
        <w:tc>
          <w:tcPr>
            <w:tcW w:type="dxa" w:w="1800"/>
            <w:shd w:fill="F5F6FA" w:color="auto" w:val="clear"/>
            <w:tcMar>
              <w:top w:type="dxa" w:w="70"/>
              <w:left w:type="dxa" w:w="100"/>
              <w:bottom w:type="dxa" w:w="70"/>
              <w:right w:type="dxa" w:w="100"/>
            </w:tcMar>
          </w:tcPr>
          <w:p>
            <w:pPr>
              <w:spacing w:after="0" w:before="0" w:line="252"/>
            </w:pPr>
            <w:r>
              <w:rPr>
                <w:b/>
                <w:bCs/>
                <w:color w:val="1F2430"/>
                <w:sz w:val="17"/>
                <w:szCs w:val="17"/>
              </w:rPr>
              <w:t xml:space="preserve">Companion instrument</w:t>
            </w:r>
          </w:p>
        </w:tc>
        <w:tc>
          <w:tcPr>
            <w:tcW w:type="dxa" w:w="8280"/>
            <w:tcMar>
              <w:top w:type="dxa" w:w="70"/>
              <w:left w:type="dxa" w:w="100"/>
              <w:bottom w:type="dxa" w:w="70"/>
              <w:right w:type="dxa" w:w="100"/>
            </w:tcMar>
          </w:tcPr>
          <w:p>
            <w:pPr>
              <w:spacing w:after="0" w:before="0" w:line="252"/>
            </w:pPr>
            <w:r>
              <w:rPr>
                <w:color w:val="1F2430"/>
                <w:sz w:val="17"/>
                <w:szCs w:val="17"/>
              </w:rPr>
              <w:t xml:space="preserve">CEF-MOD-EXEC-001 — technology direction, phasing and business case</w:t>
            </w:r>
          </w:p>
        </w:tc>
      </w:tr>
      <w:tr>
        <w:tc>
          <w:tcPr>
            <w:tcW w:type="dxa" w:w="1800"/>
            <w:shd w:fill="F5F6FA" w:color="auto" w:val="clear"/>
            <w:tcMar>
              <w:top w:type="dxa" w:w="70"/>
              <w:left w:type="dxa" w:w="100"/>
              <w:bottom w:type="dxa" w:w="70"/>
              <w:right w:type="dxa" w:w="100"/>
            </w:tcMar>
          </w:tcPr>
          <w:p>
            <w:pPr>
              <w:spacing w:after="0" w:before="0" w:line="252"/>
            </w:pPr>
            <w:r>
              <w:rPr>
                <w:b/>
                <w:bCs/>
                <w:color w:val="1F2430"/>
                <w:sz w:val="17"/>
                <w:szCs w:val="17"/>
              </w:rPr>
              <w:t xml:space="preserve">Modelling constraint</w:t>
            </w:r>
          </w:p>
        </w:tc>
        <w:tc>
          <w:tcPr>
            <w:tcW w:type="dxa" w:w="8280"/>
            <w:tcMar>
              <w:top w:type="dxa" w:w="70"/>
              <w:left w:type="dxa" w:w="100"/>
              <w:bottom w:type="dxa" w:w="70"/>
              <w:right w:type="dxa" w:w="100"/>
            </w:tcMar>
          </w:tcPr>
          <w:p>
            <w:pPr>
              <w:spacing w:after="0" w:before="0" w:line="252"/>
            </w:pPr>
            <w:r>
              <w:rPr>
                <w:b/>
                <w:bCs/>
                <w:color w:val="1F2430"/>
                <w:sz w:val="17"/>
                <w:szCs w:val="17"/>
              </w:rPr>
              <w:t xml:space="preserve">The repository estate does not change.</w:t>
            </w:r>
            <w:r>
              <w:rPr>
                <w:color w:val="1F2430"/>
                <w:sz w:val="17"/>
                <w:szCs w:val="17"/>
              </w:rPr>
              <w:t xml:space="preserve"> Containers CAP-C4-CON01 to CON12 are preserved; only the technology inside them changes.</w:t>
            </w:r>
          </w:p>
        </w:tc>
      </w:tr>
      <w:tr>
        <w:tc>
          <w:tcPr>
            <w:tcW w:type="dxa" w:w="1800"/>
            <w:shd w:fill="F5F6FA" w:color="auto" w:val="clear"/>
            <w:tcMar>
              <w:top w:type="dxa" w:w="70"/>
              <w:left w:type="dxa" w:w="100"/>
              <w:bottom w:type="dxa" w:w="70"/>
              <w:right w:type="dxa" w:w="100"/>
            </w:tcMar>
          </w:tcPr>
          <w:p>
            <w:pPr>
              <w:spacing w:after="0" w:before="0" w:line="252"/>
            </w:pPr>
            <w:r>
              <w:rPr>
                <w:b/>
                <w:bCs/>
                <w:color w:val="1F2430"/>
                <w:sz w:val="17"/>
                <w:szCs w:val="17"/>
              </w:rPr>
              <w:t xml:space="preserve">Views</w:t>
            </w:r>
          </w:p>
        </w:tc>
        <w:tc>
          <w:tcPr>
            <w:tcW w:type="dxa" w:w="8280"/>
            <w:tcMar>
              <w:top w:type="dxa" w:w="70"/>
              <w:left w:type="dxa" w:w="100"/>
              <w:bottom w:type="dxa" w:w="70"/>
              <w:right w:type="dxa" w:w="100"/>
            </w:tcMar>
          </w:tcPr>
          <w:p>
            <w:pPr>
              <w:spacing w:after="0" w:before="0" w:line="252"/>
            </w:pPr>
            <w:r>
              <w:rPr>
                <w:color w:val="1F2430"/>
                <w:sz w:val="17"/>
                <w:szCs w:val="17"/>
              </w:rPr>
              <w:t xml:space="preserve">Seven, complete: V-T01 (L1), V-T02 (L2 container), V-T03 (L3), V-T04 (L4), V-T05 and V-T06 (L2 dynamic, stage and container grain), V-T07 (L2 deployment)</w:t>
            </w:r>
          </w:p>
        </w:tc>
      </w:tr>
      <w:tr>
        <w:tc>
          <w:tcPr>
            <w:tcW w:type="dxa" w:w="1800"/>
            <w:shd w:fill="F5F6FA" w:color="auto" w:val="clear"/>
            <w:tcMar>
              <w:top w:type="dxa" w:w="70"/>
              <w:left w:type="dxa" w:w="100"/>
              <w:bottom w:type="dxa" w:w="70"/>
              <w:right w:type="dxa" w:w="100"/>
            </w:tcMar>
          </w:tcPr>
          <w:p>
            <w:pPr>
              <w:spacing w:after="0" w:before="0" w:line="252"/>
            </w:pPr>
            <w:r>
              <w:rPr>
                <w:b/>
                <w:bCs/>
                <w:color w:val="1F2430"/>
                <w:sz w:val="17"/>
                <w:szCs w:val="17"/>
              </w:rPr>
              <w:t xml:space="preserve">Open items</w:t>
            </w:r>
          </w:p>
        </w:tc>
        <w:tc>
          <w:tcPr>
            <w:tcW w:type="dxa" w:w="8280"/>
            <w:tcMar>
              <w:top w:type="dxa" w:w="70"/>
              <w:left w:type="dxa" w:w="100"/>
              <w:bottom w:type="dxa" w:w="70"/>
              <w:right w:type="dxa" w:w="100"/>
            </w:tcMar>
          </w:tcPr>
          <w:p>
            <w:pPr>
              <w:spacing w:after="0" w:before="0" w:line="252"/>
            </w:pPr>
            <w:r>
              <w:rPr>
                <w:color w:val="1F2430"/>
                <w:sz w:val="17"/>
                <w:szCs w:val="17"/>
              </w:rPr>
              <w:t xml:space="preserve">Five, listed with owners at §8.1. V-T07 rests on ADR-011, which is Proposed not Accepted.</w:t>
            </w:r>
          </w:p>
        </w:tc>
      </w:tr>
      <w:tr>
        <w:tc>
          <w:tcPr>
            <w:tcW w:type="dxa" w:w="1800"/>
            <w:shd w:fill="F5F6FA" w:color="auto" w:val="clear"/>
            <w:tcMar>
              <w:top w:type="dxa" w:w="70"/>
              <w:left w:type="dxa" w:w="100"/>
              <w:bottom w:type="dxa" w:w="70"/>
              <w:right w:type="dxa" w:w="100"/>
            </w:tcMar>
          </w:tcPr>
          <w:p>
            <w:pPr>
              <w:spacing w:after="0" w:before="0" w:line="252"/>
            </w:pPr>
            <w:r>
              <w:rPr>
                <w:b/>
                <w:bCs/>
                <w:color w:val="1F2430"/>
                <w:sz w:val="17"/>
                <w:szCs w:val="17"/>
              </w:rPr>
              <w:t xml:space="preserve">Inherited gap</w:t>
            </w:r>
          </w:p>
        </w:tc>
        <w:tc>
          <w:tcPr>
            <w:tcW w:type="dxa" w:w="8280"/>
            <w:tcMar>
              <w:top w:type="dxa" w:w="70"/>
              <w:left w:type="dxa" w:w="100"/>
              <w:bottom w:type="dxa" w:w="70"/>
              <w:right w:type="dxa" w:w="100"/>
            </w:tcMar>
          </w:tcPr>
          <w:p>
            <w:pPr>
              <w:spacing w:after="0" w:before="0" w:line="252"/>
            </w:pPr>
            <w:r>
              <w:rPr>
                <w:color w:val="1F2430"/>
                <w:sz w:val="17"/>
                <w:szCs w:val="17"/>
              </w:rPr>
              <w:t xml:space="preserve">CEF-CAP-TAD-001 §0.7 container boundary rule remains unanswered and is inherited, not closed</w:t>
            </w:r>
          </w:p>
        </w:tc>
      </w:tr>
      <w:tr>
        <w:tc>
          <w:tcPr>
            <w:tcW w:type="dxa" w:w="1800"/>
            <w:shd w:fill="F5F6FA" w:color="auto" w:val="clear"/>
            <w:tcMar>
              <w:top w:type="dxa" w:w="70"/>
              <w:left w:type="dxa" w:w="100"/>
              <w:bottom w:type="dxa" w:w="70"/>
              <w:right w:type="dxa" w:w="100"/>
            </w:tcMar>
          </w:tcPr>
          <w:p>
            <w:pPr>
              <w:spacing w:after="0" w:before="0" w:line="252"/>
            </w:pPr>
            <w:r>
              <w:rPr>
                <w:b/>
                <w:bCs/>
                <w:color w:val="1F2430"/>
                <w:sz w:val="17"/>
                <w:szCs w:val="17"/>
              </w:rPr>
              <w:t xml:space="preserve">Runtime baseline</w:t>
            </w:r>
          </w:p>
        </w:tc>
        <w:tc>
          <w:tcPr>
            <w:tcW w:type="dxa" w:w="8280"/>
            <w:tcMar>
              <w:top w:type="dxa" w:w="70"/>
              <w:left w:type="dxa" w:w="100"/>
              <w:bottom w:type="dxa" w:w="70"/>
              <w:right w:type="dxa" w:w="100"/>
            </w:tcMar>
          </w:tcPr>
          <w:p>
            <w:pPr>
              <w:spacing w:after="0" w:before="0" w:line="252"/>
            </w:pPr>
            <w:r>
              <w:rPr>
                <w:color w:val="1F2430"/>
                <w:sz w:val="17"/>
                <w:szCs w:val="17"/>
              </w:rPr>
              <w:t xml:space="preserve">.NET 10 LTS · React 19.2 · Next.js 16.3 · PostgreSQL 18.6 · Apache Kafka 4.3.1</w:t>
            </w:r>
          </w:p>
        </w:tc>
      </w:tr>
      <w:tr>
        <w:tc>
          <w:tcPr>
            <w:tcW w:type="dxa" w:w="1800"/>
            <w:shd w:fill="F5F6FA" w:color="auto" w:val="clear"/>
            <w:tcMar>
              <w:top w:type="dxa" w:w="70"/>
              <w:left w:type="dxa" w:w="100"/>
              <w:bottom w:type="dxa" w:w="70"/>
              <w:right w:type="dxa" w:w="100"/>
            </w:tcMar>
          </w:tcPr>
          <w:p>
            <w:pPr>
              <w:spacing w:after="0" w:before="0" w:line="252"/>
            </w:pPr>
            <w:r>
              <w:rPr>
                <w:b/>
                <w:bCs/>
                <w:color w:val="C62828"/>
                <w:sz w:val="17"/>
                <w:szCs w:val="17"/>
              </w:rPr>
              <w:t xml:space="preserve">Classification</w:t>
            </w:r>
          </w:p>
        </w:tc>
        <w:tc>
          <w:tcPr>
            <w:tcW w:type="dxa" w:w="8280"/>
            <w:tcMar>
              <w:top w:type="dxa" w:w="70"/>
              <w:left w:type="dxa" w:w="100"/>
              <w:bottom w:type="dxa" w:w="70"/>
              <w:right w:type="dxa" w:w="100"/>
            </w:tcMar>
          </w:tcPr>
          <w:p>
            <w:pPr>
              <w:spacing w:after="0" w:before="0" w:line="252"/>
            </w:pPr>
            <w:r>
              <w:rPr>
                <w:b/>
                <w:bCs/>
                <w:color w:val="C62828"/>
                <w:sz w:val="17"/>
                <w:szCs w:val="17"/>
              </w:rPr>
              <w:t xml:space="preserve">MSS / Gainwell Confidential — not for State distribution without review</w:t>
            </w:r>
          </w:p>
        </w:tc>
      </w:tr>
    </w:tbl>
    <w:p>
      <w:pPr>
        <w:spacing w:after="140" w:before="0" w:line="264"/>
      </w:pPr>
    </w:p>
    <w:tbl>
      <w:tblPr>
        <w:tblW w:type="dxa" w:w="10080"/>
        <w:tblBorders>
          <w:top w:val="single" w:color="00695C" w:sz="2"/>
          <w:left w:val="single" w:color="00695C" w:sz="24"/>
          <w:bottom w:val="single" w:color="00695C" w:sz="2"/>
          <w:right w:val="single" w:color="00695C" w:sz="2"/>
          <w:insideH w:val="none"/>
          <w:insideV w:val="none"/>
        </w:tblBorders>
      </w:tblPr>
      <w:tblGrid>
        <w:gridCol w:w="10080"/>
      </w:tblGrid>
      <w:tr>
        <w:tc>
          <w:tcPr>
            <w:tcW w:type="dxa" w:w="10080"/>
            <w:shd w:fill="E0F2F1" w:color="auto" w:val="clear"/>
            <w:tcMar>
              <w:top w:type="dxa" w:w="130"/>
              <w:left w:type="dxa" w:w="180"/>
              <w:bottom w:type="dxa" w:w="130"/>
              <w:right w:type="dxa" w:w="160"/>
            </w:tcMar>
          </w:tcPr>
          <w:p>
            <w:pPr>
              <w:spacing w:after="80" w:before="0" w:line="264"/>
            </w:pPr>
            <w:r>
              <w:rPr>
                <w:b/>
                <w:bCs/>
                <w:color w:val="00695C"/>
                <w:sz w:val="19"/>
                <w:szCs w:val="19"/>
              </w:rPr>
              <w:t xml:space="preserve">What this document does</w:t>
            </w:r>
          </w:p>
          <w:p>
            <w:pPr>
              <w:spacing w:after="70" w:before="0" w:line="264"/>
            </w:pPr>
            <w:r>
              <w:rPr>
                <w:color w:val="1F2430"/>
                <w:sz w:val="19"/>
                <w:szCs w:val="19"/>
              </w:rPr>
              <w:t xml:space="preserve">It specifies the target state architecture for the capitation platform as a complete C4 view set, mapped one-to-one onto the containers and repositories established in CEF-CAP-TAD-001. The repository estate does not change; the technology inside it does.</w:t>
            </w:r>
          </w:p>
          <w:p>
            <w:pPr>
              <w:spacing w:after="70" w:before="0" w:line="264"/>
            </w:pPr>
            <w:r>
              <w:rPr>
                <w:color w:val="1F2430"/>
                <w:sz w:val="19"/>
                <w:szCs w:val="19"/>
              </w:rPr>
              <w:t xml:space="preserve">Read </w:t>
            </w:r>
            <w:r>
              <w:rPr>
                <w:b/>
                <w:bCs/>
                <w:color w:val="1F2430"/>
                <w:sz w:val="19"/>
                <w:szCs w:val="19"/>
              </w:rPr>
              <w:t xml:space="preserve">§3.1</w:t>
            </w:r>
            <w:r>
              <w:rPr>
                <w:color w:val="1F2430"/>
                <w:sz w:val="19"/>
                <w:szCs w:val="19"/>
              </w:rPr>
              <w:t xml:space="preserve"> first — the container traceability table is the contract between current and target state, and every other section depends on it holding. Read </w:t>
            </w:r>
            <w:r>
              <w:rPr>
                <w:b/>
                <w:bCs/>
                <w:color w:val="1F2430"/>
                <w:sz w:val="19"/>
                <w:szCs w:val="19"/>
              </w:rPr>
              <w:t xml:space="preserve">§8</w:t>
            </w:r>
            <w:r>
              <w:rPr>
                <w:color w:val="1F2430"/>
                <w:sz w:val="19"/>
                <w:szCs w:val="19"/>
              </w:rPr>
              <w:t xml:space="preserve"> before estimating any of this work.</w:t>
            </w:r>
          </w:p>
          <w:p>
            <w:pPr>
              <w:spacing w:after="0" w:before="0" w:line="264"/>
            </w:pPr>
            <w:r>
              <w:rPr>
                <w:b/>
                <w:bCs/>
                <w:color w:val="1F2430"/>
                <w:sz w:val="19"/>
                <w:szCs w:val="19"/>
              </w:rPr>
              <w:t xml:space="preserve">Four constraints are carried forward unresolved and five items are open.</w:t>
            </w:r>
            <w:r>
              <w:rPr>
                <w:color w:val="1F2430"/>
                <w:sz w:val="19"/>
                <w:szCs w:val="19"/>
              </w:rPr>
              <w:t xml:space="preserve"> They are listed at §8 with named owners rather than closed on paper, because the current-state evidence does not support closing them.</w:t>
            </w:r>
          </w:p>
        </w:tc>
      </w:tr>
    </w:tbl>
    <w:p>
      <w:pPr>
        <w:spacing w:after="200" w:before="0" w:line="264"/>
      </w:pPr>
    </w:p>
    <w:p>
      <w:pPr>
        <w:pBdr>
          <w:bottom w:val="single" w:color="C5CAE9" w:sz="6" w:space="8"/>
        </w:pBdr>
        <w:spacing w:after="140" w:before="0" w:line="264"/>
      </w:pPr>
      <w:r>
        <w:rPr>
          <w:b/>
          <w:bCs/>
          <w:color w:val="1A237E"/>
          <w:sz w:val="24"/>
          <w:szCs w:val="24"/>
        </w:rPr>
        <w:t xml:space="preserve">Contents</w:t>
      </w:r>
    </w:p>
    <w:p>
      <w:pPr>
        <w:spacing w:after="40" w:before="0" w:line="264"/>
      </w:pPr>
      <w:r>
        <w:rPr>
          <w:b/>
          <w:bCs/>
          <w:color w:val="1A237E"/>
          <w:sz w:val="19"/>
          <w:szCs w:val="19"/>
        </w:rPr>
        <w:t xml:space="preserve">1. Scope and modelling constraint</w:t>
      </w:r>
    </w:p>
    <w:p>
      <w:pPr>
        <w:spacing w:after="30" w:before="0" w:line="264"/>
        <w:ind w:left="280"/>
      </w:pPr>
      <w:r>
        <w:rPr>
          <w:color w:val="455A64"/>
          <w:sz w:val="18"/>
          <w:szCs w:val="18"/>
        </w:rPr>
        <w:t xml:space="preserve">1.1 What this pack contains</w:t>
      </w:r>
    </w:p>
    <w:p>
      <w:pPr>
        <w:spacing w:after="30" w:before="0" w:line="264"/>
        <w:ind w:left="280"/>
      </w:pPr>
      <w:r>
        <w:rPr>
          <w:color w:val="455A64"/>
          <w:sz w:val="18"/>
          <w:szCs w:val="18"/>
        </w:rPr>
        <w:t xml:space="preserve">1.2 The repository estate does not change</w:t>
      </w:r>
    </w:p>
    <w:p>
      <w:pPr>
        <w:spacing w:after="30" w:before="0" w:line="264"/>
        <w:ind w:left="280"/>
      </w:pPr>
      <w:r>
        <w:rPr>
          <w:color w:val="455A64"/>
          <w:sz w:val="18"/>
          <w:szCs w:val="18"/>
        </w:rPr>
        <w:t xml:space="preserve">1.3 Technology baseline</w:t>
      </w:r>
    </w:p>
    <w:p>
      <w:pPr>
        <w:spacing w:after="40" w:before="0" w:line="264"/>
      </w:pPr>
      <w:r>
        <w:rPr>
          <w:b/>
          <w:bCs/>
          <w:color w:val="1A237E"/>
          <w:sz w:val="19"/>
          <w:szCs w:val="19"/>
        </w:rPr>
        <w:t xml:space="preserve">2. Modelling conventions</w:t>
      </w:r>
    </w:p>
    <w:p>
      <w:pPr>
        <w:spacing w:after="30" w:before="0" w:line="264"/>
        <w:ind w:left="280"/>
      </w:pPr>
      <w:r>
        <w:rPr>
          <w:color w:val="455A64"/>
          <w:sz w:val="18"/>
          <w:szCs w:val="18"/>
        </w:rPr>
        <w:t xml:space="preserve">2.1 Alignment with CEF-CAP-TAD-001</w:t>
      </w:r>
    </w:p>
    <w:p>
      <w:pPr>
        <w:spacing w:after="30" w:before="0" w:line="264"/>
        <w:ind w:left="280"/>
      </w:pPr>
      <w:r>
        <w:rPr>
          <w:color w:val="455A64"/>
          <w:sz w:val="18"/>
          <w:szCs w:val="18"/>
        </w:rPr>
        <w:t xml:space="preserve">2.2 The container boundary rule</w:t>
      </w:r>
    </w:p>
    <w:p>
      <w:pPr>
        <w:spacing w:after="30" w:before="0" w:line="264"/>
        <w:ind w:left="280"/>
      </w:pPr>
      <w:r>
        <w:rPr>
          <w:color w:val="455A64"/>
          <w:sz w:val="18"/>
          <w:szCs w:val="18"/>
        </w:rPr>
        <w:t xml:space="preserve">2.3 Target view index</w:t>
      </w:r>
    </w:p>
    <w:p>
      <w:pPr>
        <w:spacing w:after="40" w:before="0" w:line="264"/>
      </w:pPr>
      <w:r>
        <w:rPr>
          <w:b/>
          <w:bCs/>
          <w:color w:val="1A237E"/>
          <w:sz w:val="19"/>
          <w:szCs w:val="19"/>
        </w:rPr>
        <w:t xml:space="preserve">3. Container traceability</w:t>
      </w:r>
    </w:p>
    <w:p>
      <w:pPr>
        <w:spacing w:after="30" w:before="0" w:line="264"/>
        <w:ind w:left="280"/>
      </w:pPr>
      <w:r>
        <w:rPr>
          <w:color w:val="455A64"/>
          <w:sz w:val="18"/>
          <w:szCs w:val="18"/>
        </w:rPr>
        <w:t xml:space="preserve">3.1 Current container to target container</w:t>
      </w:r>
    </w:p>
    <w:p>
      <w:pPr>
        <w:spacing w:after="30" w:before="0" w:line="264"/>
        <w:ind w:left="280"/>
      </w:pPr>
      <w:r>
        <w:rPr>
          <w:color w:val="455A64"/>
          <w:sz w:val="18"/>
          <w:szCs w:val="18"/>
        </w:rPr>
        <w:t xml:space="preserve">3.2 Reading the traceability honestly</w:t>
      </w:r>
    </w:p>
    <w:p>
      <w:pPr>
        <w:spacing w:after="30" w:before="0" w:line="264"/>
        <w:ind w:left="280"/>
      </w:pPr>
      <w:r>
        <w:rPr>
          <w:color w:val="455A64"/>
          <w:sz w:val="18"/>
          <w:szCs w:val="18"/>
        </w:rPr>
        <w:t xml:space="preserve">3.3 Repository disposition</w:t>
      </w:r>
    </w:p>
    <w:p>
      <w:pPr>
        <w:spacing w:after="40" w:before="0" w:line="264"/>
      </w:pPr>
      <w:r>
        <w:rPr>
          <w:b/>
          <w:bCs/>
          <w:color w:val="1A237E"/>
          <w:sz w:val="19"/>
          <w:szCs w:val="19"/>
        </w:rPr>
        <w:t xml:space="preserve">4. Architecture views — C4 Levels 1 and 2</w:t>
      </w:r>
    </w:p>
    <w:p>
      <w:pPr>
        <w:spacing w:after="30" w:before="0" w:line="264"/>
        <w:ind w:left="280"/>
      </w:pPr>
      <w:r>
        <w:rPr>
          <w:color w:val="455A64"/>
          <w:sz w:val="18"/>
          <w:szCs w:val="18"/>
        </w:rPr>
        <w:t xml:space="preserve">4.1 V-T01 — Target System Context</w:t>
      </w:r>
    </w:p>
    <w:p>
      <w:pPr>
        <w:spacing w:after="30" w:before="0" w:line="264"/>
        <w:ind w:left="280"/>
      </w:pPr>
      <w:r>
        <w:rPr>
          <w:color w:val="455A64"/>
          <w:sz w:val="18"/>
          <w:szCs w:val="18"/>
        </w:rPr>
        <w:t xml:space="preserve">4.2 V-T02 — Target Container view</w:t>
      </w:r>
    </w:p>
    <w:p>
      <w:pPr>
        <w:spacing w:after="40" w:before="0" w:line="264"/>
      </w:pPr>
      <w:r>
        <w:rPr>
          <w:b/>
          <w:bCs/>
          <w:color w:val="1A237E"/>
          <w:sz w:val="19"/>
          <w:szCs w:val="19"/>
        </w:rPr>
        <w:t xml:space="preserve">5. Engineering views — C4 Levels 3 and 4</w:t>
      </w:r>
    </w:p>
    <w:p>
      <w:pPr>
        <w:spacing w:after="30" w:before="0" w:line="264"/>
        <w:ind w:left="280"/>
      </w:pPr>
      <w:r>
        <w:rPr>
          <w:color w:val="455A64"/>
          <w:sz w:val="18"/>
          <w:szCs w:val="18"/>
        </w:rPr>
        <w:t xml:space="preserve">5.1 V-T03 — Component view, CAP-C4-CON01</w:t>
      </w:r>
    </w:p>
    <w:p>
      <w:pPr>
        <w:spacing w:after="30" w:before="0" w:line="264"/>
        <w:ind w:left="280"/>
      </w:pPr>
      <w:r>
        <w:rPr>
          <w:color w:val="455A64"/>
          <w:sz w:val="18"/>
          <w:szCs w:val="18"/>
        </w:rPr>
        <w:t xml:space="preserve">5.2 V-T04 — Code view, the voucher and payment write path</w:t>
      </w:r>
    </w:p>
    <w:p>
      <w:pPr>
        <w:spacing w:after="40" w:before="0" w:line="264"/>
      </w:pPr>
      <w:r>
        <w:rPr>
          <w:b/>
          <w:bCs/>
          <w:color w:val="1A237E"/>
          <w:sz w:val="19"/>
          <w:szCs w:val="19"/>
        </w:rPr>
        <w:t xml:space="preserve">6. Dynamic views — C4 Level 2</w:t>
      </w:r>
    </w:p>
    <w:p>
      <w:pPr>
        <w:spacing w:after="30" w:before="0" w:line="264"/>
        <w:ind w:left="280"/>
      </w:pPr>
      <w:r>
        <w:rPr>
          <w:color w:val="455A64"/>
          <w:sz w:val="18"/>
          <w:szCs w:val="18"/>
        </w:rPr>
        <w:t xml:space="preserve">6.1 V-T05 — Target end-to-end capitation, stage grain</w:t>
      </w:r>
    </w:p>
    <w:p>
      <w:pPr>
        <w:spacing w:after="30" w:before="0" w:line="264"/>
        <w:ind w:left="280"/>
      </w:pPr>
      <w:r>
        <w:rPr>
          <w:color w:val="455A64"/>
          <w:sz w:val="18"/>
          <w:szCs w:val="18"/>
        </w:rPr>
        <w:t xml:space="preserve">6.2 V-T06 — Target regular monthly cycle, container grain</w:t>
      </w:r>
    </w:p>
    <w:p>
      <w:pPr>
        <w:spacing w:after="40" w:before="0" w:line="264"/>
      </w:pPr>
      <w:r>
        <w:rPr>
          <w:b/>
          <w:bCs/>
          <w:color w:val="1A237E"/>
          <w:sz w:val="19"/>
          <w:szCs w:val="19"/>
        </w:rPr>
        <w:t xml:space="preserve">7. Deployment view — C4 Level 2</w:t>
      </w:r>
    </w:p>
    <w:p>
      <w:pPr>
        <w:spacing w:after="40" w:before="0" w:line="264"/>
      </w:pPr>
      <w:r>
        <w:rPr>
          <w:b/>
          <w:bCs/>
          <w:color w:val="1A237E"/>
          <w:sz w:val="19"/>
          <w:szCs w:val="19"/>
        </w:rPr>
        <w:t xml:space="preserve">8. Constraints and open items</w:t>
      </w:r>
    </w:p>
    <w:p>
      <w:pPr>
        <w:spacing w:after="30" w:before="0" w:line="264"/>
        <w:ind w:left="280"/>
      </w:pPr>
      <w:r>
        <w:rPr>
          <w:color w:val="455A64"/>
          <w:sz w:val="18"/>
          <w:szCs w:val="18"/>
        </w:rPr>
        <w:t xml:space="preserve">8.1 Open items</w:t>
      </w:r>
    </w:p>
    <w:p>
      <w:pPr>
        <w:spacing w:after="40" w:before="0" w:line="264"/>
      </w:pPr>
      <w:r>
        <w:rPr>
          <w:b/>
          <w:bCs/>
          <w:color w:val="1A237E"/>
          <w:sz w:val="19"/>
          <w:szCs w:val="19"/>
        </w:rPr>
        <w:t xml:space="preserve">9. Consistency check</w:t>
      </w:r>
    </w:p>
    <w:p>
      <w:pPr>
        <w:spacing w:after="40" w:before="0" w:line="264"/>
      </w:pPr>
      <w:r>
        <w:rPr>
          <w:b/>
          <w:bCs/>
          <w:color w:val="1A237E"/>
          <w:sz w:val="19"/>
          <w:szCs w:val="19"/>
        </w:rPr>
        <w:t xml:space="preserve">10. Actions</w:t>
      </w:r>
    </w:p>
    <w:p>
      <w:pPr>
        <w:spacing w:after="100" w:before="0" w:line="264"/>
      </w:pPr>
    </w:p>
    <w:p>
      <w:pPr>
        <w:pStyle w:val="Heading1"/>
        <w:keepNext/>
        <w:spacing w:before="300" w:after="140" w:line="264"/>
        <w:outlineLvl w:val="0"/>
      </w:pPr>
      <w:r>
        <w:rPr>
          <w:b/>
          <w:bCs/>
          <w:color w:val="1A237E"/>
          <w:sz w:val="30"/>
          <w:szCs w:val="30"/>
        </w:rPr>
        <w:t xml:space="preserve">1. Scope and modelling constraint</w:t>
      </w:r>
    </w:p>
    <w:p>
      <w:pPr>
        <w:pStyle w:val="Heading2"/>
        <w:keepNext/>
        <w:spacing w:before="260" w:after="110" w:line="264"/>
        <w:outlineLvl w:val="1"/>
      </w:pPr>
      <w:r>
        <w:rPr>
          <w:b/>
          <w:bCs/>
          <w:color w:val="1A237E"/>
          <w:sz w:val="24"/>
          <w:szCs w:val="24"/>
        </w:rPr>
        <w:t xml:space="preserve">1.1 What this pack contains</w:t>
      </w:r>
    </w:p>
    <w:p>
      <w:pPr>
        <w:spacing w:after="130" w:before="0" w:line="264"/>
      </w:pPr>
      <w:r>
        <w:rPr>
          <w:color w:val="1F2430"/>
          <w:sz w:val="20"/>
          <w:szCs w:val="20"/>
        </w:rPr>
        <w:t xml:space="preserve">A complete target-state C4 view set for the CEF capitation platform, expressed against the container model and repository estate established in CEF-CAP-TAD-001. Seven views are drawn: system context, container, component, code, and dynamic views at both stage and container grain, plus deployment.</w:t>
      </w:r>
    </w:p>
    <w:p>
      <w:pPr>
        <w:spacing w:after="130" w:before="0" w:line="264"/>
      </w:pPr>
      <w:r>
        <w:rPr>
          <w:color w:val="1F2430"/>
          <w:sz w:val="20"/>
          <w:szCs w:val="20"/>
        </w:rPr>
        <w:t xml:space="preserve">Container identifiers </w:t>
      </w:r>
      <w:r>
        <w:rPr>
          <w:rFonts w:ascii="Consolas" w:hAnsi="Consolas" w:cs="Consolas"/>
          <w:color w:val="1C3D5A"/>
          <w:sz w:val="19"/>
          <w:szCs w:val="19"/>
        </w:rPr>
        <w:t xml:space="preserve">CAP-C4-CON01</w:t>
      </w:r>
      <w:r>
        <w:rPr>
          <w:color w:val="1F2430"/>
          <w:sz w:val="20"/>
          <w:szCs w:val="20"/>
        </w:rPr>
        <w:t xml:space="preserve"> to </w:t>
      </w:r>
      <w:r>
        <w:rPr>
          <w:rFonts w:ascii="Consolas" w:hAnsi="Consolas" w:cs="Consolas"/>
          <w:color w:val="1C3D5A"/>
          <w:sz w:val="19"/>
          <w:szCs w:val="19"/>
        </w:rPr>
        <w:t xml:space="preserve">CAP-C4-CON12</w:t>
      </w:r>
      <w:r>
        <w:rPr>
          <w:color w:val="1F2430"/>
          <w:sz w:val="20"/>
          <w:szCs w:val="20"/>
        </w:rPr>
        <w:t xml:space="preserve"> carry the same meaning here that they carry at CEF-CAP-TAD-001 §1.3.4. Every current-state finding therefore remains addressable against a target container, and every target decision can be checked against the evidence that produced the finding.</w:t>
      </w:r>
    </w:p>
    <w:p>
      <w:pPr>
        <w:pStyle w:val="Heading2"/>
        <w:keepNext/>
        <w:spacing w:before="260" w:after="110" w:line="264"/>
        <w:outlineLvl w:val="1"/>
      </w:pPr>
      <w:r>
        <w:rPr>
          <w:b/>
          <w:bCs/>
          <w:color w:val="1A237E"/>
          <w:sz w:val="24"/>
          <w:szCs w:val="24"/>
        </w:rPr>
        <w:t xml:space="preserve">1.2 The repository estate does not change</w:t>
      </w:r>
    </w:p>
    <w:p>
      <w:pPr>
        <w:spacing w:after="130" w:before="0" w:line="264"/>
      </w:pPr>
      <w:r>
        <w:rPr>
          <w:color w:val="1F2430"/>
          <w:sz w:val="20"/>
          <w:szCs w:val="20"/>
        </w:rPr>
        <w:t xml:space="preserve">No repository is created and none is retired by the target design at container grain. </w:t>
      </w:r>
      <w:r>
        <w:rPr>
          <w:rFonts w:ascii="Consolas" w:hAnsi="Consolas" w:cs="Consolas"/>
          <w:color w:val="1C3D5A"/>
          <w:sz w:val="19"/>
          <w:szCs w:val="19"/>
        </w:rPr>
        <w:t xml:space="preserve">mms-cms-cef</w:t>
      </w:r>
      <w:r>
        <w:rPr>
          <w:color w:val="1F2430"/>
          <w:sz w:val="20"/>
          <w:szCs w:val="20"/>
        </w:rPr>
        <w:t xml:space="preserve">, </w:t>
      </w:r>
      <w:r>
        <w:rPr>
          <w:rFonts w:ascii="Consolas" w:hAnsi="Consolas" w:cs="Consolas"/>
          <w:color w:val="1C3D5A"/>
          <w:sz w:val="19"/>
          <w:szCs w:val="19"/>
        </w:rPr>
        <w:t xml:space="preserve">sis-inx-edigw</w:t>
      </w:r>
      <w:r>
        <w:rPr>
          <w:color w:val="1F2430"/>
          <w:sz w:val="20"/>
          <w:szCs w:val="20"/>
        </w:rPr>
        <w:t xml:space="preserve">, </w:t>
      </w:r>
      <w:r>
        <w:rPr>
          <w:rFonts w:ascii="Consolas" w:hAnsi="Consolas" w:cs="Consolas"/>
          <w:color w:val="1C3D5A"/>
          <w:sz w:val="19"/>
          <w:szCs w:val="19"/>
        </w:rPr>
        <w:t xml:space="preserve">mms-bolton-fin-ohio</w:t>
      </w:r>
      <w:r>
        <w:rPr>
          <w:color w:val="1F2430"/>
          <w:sz w:val="20"/>
          <w:szCs w:val="20"/>
        </w:rPr>
        <w:t xml:space="preserve">, </w:t>
      </w:r>
      <w:r>
        <w:rPr>
          <w:rFonts w:ascii="Consolas" w:hAnsi="Consolas" w:cs="Consolas"/>
          <w:color w:val="1C3D5A"/>
          <w:sz w:val="19"/>
          <w:szCs w:val="19"/>
        </w:rPr>
        <w:t xml:space="preserve">act-oh-OHDDI</w:t>
      </w:r>
      <w:r>
        <w:rPr>
          <w:color w:val="1F2430"/>
          <w:sz w:val="20"/>
          <w:szCs w:val="20"/>
        </w:rPr>
        <w:t xml:space="preserve"> and </w:t>
      </w:r>
      <w:r>
        <w:rPr>
          <w:rFonts w:ascii="Consolas" w:hAnsi="Consolas" w:cs="Consolas"/>
          <w:color w:val="1C3D5A"/>
          <w:sz w:val="19"/>
          <w:szCs w:val="19"/>
        </w:rPr>
        <w:t xml:space="preserve">finance-corticon-businessrules</w:t>
      </w:r>
      <w:r>
        <w:rPr>
          <w:color w:val="1F2430"/>
          <w:sz w:val="20"/>
          <w:szCs w:val="20"/>
        </w:rPr>
        <w:t xml:space="preserve"> all persist. What changes is the technology inside them and, in exactly one case, which repository owns a container.</w:t>
      </w:r>
    </w:p>
    <w:p>
      <w:pPr>
        <w:spacing w:after="130" w:before="0" w:line="264"/>
      </w:pPr>
      <w:r>
        <w:rPr>
          <w:color w:val="1F2430"/>
          <w:sz w:val="20"/>
          <w:szCs w:val="20"/>
        </w:rPr>
        <w:t xml:space="preserve">This is a deliberate constraint. The repository estate encodes ownership, build lanes, release cadence and audit history. Re-cutting it at the same time as re-platforming the runtime would mean changing two variables at once, and no failure during migration could then be attributed to either. Re-platform first inside the existing boundaries; revisit repository boundaries afterwards, if the evidence then justifies it.</w:t>
      </w:r>
    </w:p>
    <w:p>
      <w:pPr>
        <w:pStyle w:val="Heading2"/>
        <w:keepNext/>
        <w:spacing w:before="260" w:after="110" w:line="264"/>
        <w:outlineLvl w:val="1"/>
      </w:pPr>
      <w:r>
        <w:rPr>
          <w:b/>
          <w:bCs/>
          <w:color w:val="1A237E"/>
          <w:sz w:val="24"/>
          <w:szCs w:val="24"/>
        </w:rPr>
        <w:t xml:space="preserve">1.3 Technology baseline</w:t>
      </w:r>
    </w:p>
    <w:p>
      <w:pPr>
        <w:spacing w:after="130" w:before="0" w:line="264"/>
      </w:pPr>
      <w:r>
        <w:rPr>
          <w:color w:val="1F2430"/>
          <w:sz w:val="20"/>
          <w:szCs w:val="20"/>
        </w:rPr>
        <w:t xml:space="preserve">.NET 10 LTS, React 19.2 with Next.js 16.3, PostgreSQL 18.6, Apache Kafka 4.3.1, PingOne for identity, Docker and ECS on AWS, GitHub Actions for delivery. All are current generally-available releases; none is a preview.</w:t>
      </w:r>
    </w:p>
    <w:p>
      <w:r>
        <w:br w:type="page"/>
      </w:r>
    </w:p>
    <w:p>
      <w:pPr>
        <w:pStyle w:val="Heading1"/>
        <w:keepNext/>
        <w:spacing w:before="300" w:after="140" w:line="264"/>
        <w:outlineLvl w:val="0"/>
      </w:pPr>
      <w:r>
        <w:rPr>
          <w:b/>
          <w:bCs/>
          <w:color w:val="1A237E"/>
          <w:sz w:val="30"/>
          <w:szCs w:val="30"/>
        </w:rPr>
        <w:t xml:space="preserve">2. Modelling conventions</w:t>
      </w:r>
    </w:p>
    <w:p>
      <w:pPr>
        <w:pStyle w:val="Heading2"/>
        <w:keepNext/>
        <w:spacing w:before="260" w:after="110" w:line="264"/>
        <w:outlineLvl w:val="1"/>
      </w:pPr>
      <w:r>
        <w:rPr>
          <w:b/>
          <w:bCs/>
          <w:color w:val="1A237E"/>
          <w:sz w:val="24"/>
          <w:szCs w:val="24"/>
        </w:rPr>
        <w:t xml:space="preserve">2.1 Alignment with CEF-CAP-TAD-001</w:t>
      </w:r>
    </w:p>
    <w:p>
      <w:pPr>
        <w:spacing w:after="130" w:before="0" w:line="264"/>
      </w:pPr>
      <w:r>
        <w:rPr>
          <w:color w:val="1F2430"/>
          <w:sz w:val="20"/>
          <w:szCs w:val="20"/>
        </w:rPr>
        <w:t xml:space="preserve">The conventions at CEF-CAP-TAD-001 §0.7 are adopted without modification, so that the current-state and target-state view sets can be laid side by side.</w:t>
      </w:r>
    </w:p>
    <w:tbl>
      <w:tblPr>
        <w:tblW w:type="dxa" w:w="10080"/>
        <w:tblBorders>
          <w:top w:val="single" w:color="9FA8DA" w:sz="4"/>
          <w:left w:val="single" w:color="9FA8DA" w:sz="4"/>
          <w:bottom w:val="single" w:color="9FA8DA" w:sz="4"/>
          <w:right w:val="single" w:color="9FA8DA" w:sz="4"/>
          <w:insideH w:val="single" w:color="C5CAE9" w:sz="2"/>
          <w:insideV w:val="single" w:color="C5CAE9" w:sz="2"/>
        </w:tblBorders>
      </w:tblPr>
      <w:tblGrid>
        <w:gridCol w:w="5427"/>
        <w:gridCol w:w="3095"/>
        <w:gridCol w:w="1558"/>
      </w:tblGrid>
      <w:tr>
        <w:trPr>
          <w:tblHeader/>
          <w:cantSplit/>
        </w:trPr>
        <w:tc>
          <w:tcPr>
            <w:tcW w:type="dxa" w:w="5427"/>
            <w:shd w:fill="1A237E" w:color="auto" w:val="clear"/>
            <w:tcMar>
              <w:top w:type="dxa" w:w="70"/>
              <w:left w:type="dxa" w:w="100"/>
              <w:bottom w:type="dxa" w:w="70"/>
              <w:right w:type="dxa" w:w="100"/>
            </w:tcMar>
            <w:vAlign w:val="center"/>
          </w:tcPr>
          <w:p>
            <w:pPr>
              <w:spacing w:after="0" w:before="0" w:line="252"/>
            </w:pPr>
            <w:r>
              <w:rPr>
                <w:b/>
                <w:bCs/>
                <w:color w:val="FFFFFF"/>
                <w:sz w:val="17"/>
                <w:szCs w:val="17"/>
              </w:rPr>
              <w:t xml:space="preserve">Question the reader is asking</w:t>
            </w:r>
          </w:p>
        </w:tc>
        <w:tc>
          <w:tcPr>
            <w:tcW w:type="dxa" w:w="3095"/>
            <w:shd w:fill="1A237E" w:color="auto" w:val="clear"/>
            <w:tcMar>
              <w:top w:type="dxa" w:w="70"/>
              <w:left w:type="dxa" w:w="100"/>
              <w:bottom w:type="dxa" w:w="70"/>
              <w:right w:type="dxa" w:w="100"/>
            </w:tcMar>
            <w:vAlign w:val="center"/>
          </w:tcPr>
          <w:p>
            <w:pPr>
              <w:spacing w:after="0" w:before="0" w:line="252"/>
            </w:pPr>
            <w:r>
              <w:rPr>
                <w:b/>
                <w:bCs/>
                <w:color w:val="FFFFFF"/>
                <w:sz w:val="17"/>
                <w:szCs w:val="17"/>
              </w:rPr>
              <w:t xml:space="preserve">Notation</w:t>
            </w:r>
          </w:p>
        </w:tc>
        <w:tc>
          <w:tcPr>
            <w:tcW w:type="dxa" w:w="1558"/>
            <w:shd w:fill="1A237E" w:color="auto" w:val="clear"/>
            <w:tcMar>
              <w:top w:type="dxa" w:w="70"/>
              <w:left w:type="dxa" w:w="100"/>
              <w:bottom w:type="dxa" w:w="70"/>
              <w:right w:type="dxa" w:w="100"/>
            </w:tcMar>
            <w:vAlign w:val="center"/>
          </w:tcPr>
          <w:p>
            <w:pPr>
              <w:spacing w:after="0" w:before="0" w:line="252"/>
            </w:pPr>
            <w:r>
              <w:rPr>
                <w:b/>
                <w:bCs/>
                <w:color w:val="FFFFFF"/>
                <w:sz w:val="17"/>
                <w:szCs w:val="17"/>
              </w:rPr>
              <w:t xml:space="preserve">Where it lives</w:t>
            </w:r>
          </w:p>
        </w:tc>
      </w:tr>
      <w:tr>
        <w:tc>
          <w:tcPr>
            <w:tcW w:type="dxa" w:w="5427"/>
            <w:shd w:fill="F5F6FA" w:color="auto" w:val="clear"/>
            <w:tcMar>
              <w:top w:type="dxa" w:w="70"/>
              <w:left w:type="dxa" w:w="100"/>
              <w:bottom w:type="dxa" w:w="70"/>
              <w:right w:type="dxa" w:w="100"/>
            </w:tcMar>
          </w:tcPr>
          <w:p>
            <w:pPr>
              <w:spacing w:after="0" w:before="0" w:line="252"/>
            </w:pPr>
            <w:r>
              <w:rPr>
                <w:b/>
                <w:bCs/>
                <w:color w:val="1F2430"/>
                <w:sz w:val="17"/>
                <w:szCs w:val="17"/>
              </w:rPr>
              <w:t xml:space="preserve">What is in scope, who uses it, what it touches outside the boundary</w:t>
            </w:r>
          </w:p>
        </w:tc>
        <w:tc>
          <w:tcPr>
            <w:tcW w:type="dxa" w:w="3095"/>
            <w:tcMar>
              <w:top w:type="dxa" w:w="70"/>
              <w:left w:type="dxa" w:w="100"/>
              <w:bottom w:type="dxa" w:w="70"/>
              <w:right w:type="dxa" w:w="100"/>
            </w:tcMar>
          </w:tcPr>
          <w:p>
            <w:pPr>
              <w:spacing w:after="0" w:before="0" w:line="252"/>
            </w:pPr>
            <w:r>
              <w:rPr>
                <w:color w:val="1F2430"/>
                <w:sz w:val="17"/>
                <w:szCs w:val="17"/>
              </w:rPr>
              <w:t xml:space="preserve">C4 L1 — System Context</w:t>
            </w:r>
          </w:p>
        </w:tc>
        <w:tc>
          <w:tcPr>
            <w:tcW w:type="dxa" w:w="1558"/>
            <w:tcMar>
              <w:top w:type="dxa" w:w="70"/>
              <w:left w:type="dxa" w:w="100"/>
              <w:bottom w:type="dxa" w:w="70"/>
              <w:right w:type="dxa" w:w="100"/>
            </w:tcMar>
          </w:tcPr>
          <w:p>
            <w:pPr>
              <w:spacing w:after="0" w:before="0" w:line="252"/>
            </w:pPr>
            <w:r>
              <w:rPr>
                <w:color w:val="1F2430"/>
                <w:sz w:val="17"/>
                <w:szCs w:val="17"/>
              </w:rPr>
              <w:t xml:space="preserve">§4.1 — V-T01</w:t>
            </w:r>
          </w:p>
        </w:tc>
      </w:tr>
      <w:tr>
        <w:tc>
          <w:tcPr>
            <w:tcW w:type="dxa" w:w="5427"/>
            <w:shd w:fill="F5F6FA" w:color="auto" w:val="clear"/>
            <w:tcMar>
              <w:top w:type="dxa" w:w="70"/>
              <w:left w:type="dxa" w:w="100"/>
              <w:bottom w:type="dxa" w:w="70"/>
              <w:right w:type="dxa" w:w="100"/>
            </w:tcMar>
          </w:tcPr>
          <w:p>
            <w:pPr>
              <w:spacing w:after="0" w:before="0" w:line="252"/>
            </w:pPr>
            <w:r>
              <w:rPr>
                <w:b/>
                <w:bCs/>
                <w:color w:val="1F2430"/>
                <w:sz w:val="17"/>
                <w:szCs w:val="17"/>
              </w:rPr>
              <w:t xml:space="preserve">What separately deployable or executable units exist, and what data stores</w:t>
            </w:r>
          </w:p>
        </w:tc>
        <w:tc>
          <w:tcPr>
            <w:tcW w:type="dxa" w:w="3095"/>
            <w:tcMar>
              <w:top w:type="dxa" w:w="70"/>
              <w:left w:type="dxa" w:w="100"/>
              <w:bottom w:type="dxa" w:w="70"/>
              <w:right w:type="dxa" w:w="100"/>
            </w:tcMar>
          </w:tcPr>
          <w:p>
            <w:pPr>
              <w:spacing w:after="0" w:before="0" w:line="252"/>
            </w:pPr>
            <w:r>
              <w:rPr>
                <w:color w:val="1F2430"/>
                <w:sz w:val="17"/>
                <w:szCs w:val="17"/>
              </w:rPr>
              <w:t xml:space="preserve">C4 L2 — Container</w:t>
            </w:r>
          </w:p>
        </w:tc>
        <w:tc>
          <w:tcPr>
            <w:tcW w:type="dxa" w:w="1558"/>
            <w:tcMar>
              <w:top w:type="dxa" w:w="70"/>
              <w:left w:type="dxa" w:w="100"/>
              <w:bottom w:type="dxa" w:w="70"/>
              <w:right w:type="dxa" w:w="100"/>
            </w:tcMar>
          </w:tcPr>
          <w:p>
            <w:pPr>
              <w:spacing w:after="0" w:before="0" w:line="252"/>
            </w:pPr>
            <w:r>
              <w:rPr>
                <w:color w:val="1F2430"/>
                <w:sz w:val="17"/>
                <w:szCs w:val="17"/>
              </w:rPr>
              <w:t xml:space="preserve">§4.2 — V-T02</w:t>
            </w:r>
          </w:p>
        </w:tc>
      </w:tr>
      <w:tr>
        <w:tc>
          <w:tcPr>
            <w:tcW w:type="dxa" w:w="5427"/>
            <w:shd w:fill="F5F6FA" w:color="auto" w:val="clear"/>
            <w:tcMar>
              <w:top w:type="dxa" w:w="70"/>
              <w:left w:type="dxa" w:w="100"/>
              <w:bottom w:type="dxa" w:w="70"/>
              <w:right w:type="dxa" w:w="100"/>
            </w:tcMar>
          </w:tcPr>
          <w:p>
            <w:pPr>
              <w:spacing w:after="0" w:before="0" w:line="252"/>
            </w:pPr>
            <w:r>
              <w:rPr>
                <w:b/>
                <w:bCs/>
                <w:color w:val="1F2430"/>
                <w:sz w:val="17"/>
                <w:szCs w:val="17"/>
              </w:rPr>
              <w:t xml:space="preserve">What happens, in what order, across containers during a cycle</w:t>
            </w:r>
          </w:p>
        </w:tc>
        <w:tc>
          <w:tcPr>
            <w:tcW w:type="dxa" w:w="3095"/>
            <w:tcMar>
              <w:top w:type="dxa" w:w="70"/>
              <w:left w:type="dxa" w:w="100"/>
              <w:bottom w:type="dxa" w:w="70"/>
              <w:right w:type="dxa" w:w="100"/>
            </w:tcMar>
          </w:tcPr>
          <w:p>
            <w:pPr>
              <w:spacing w:after="0" w:before="0" w:line="252"/>
            </w:pPr>
            <w:r>
              <w:rPr>
                <w:color w:val="1F2430"/>
                <w:sz w:val="17"/>
                <w:szCs w:val="17"/>
              </w:rPr>
              <w:t xml:space="preserve">C4 Dynamic view, container grain</w:t>
            </w:r>
          </w:p>
        </w:tc>
        <w:tc>
          <w:tcPr>
            <w:tcW w:type="dxa" w:w="1558"/>
            <w:tcMar>
              <w:top w:type="dxa" w:w="70"/>
              <w:left w:type="dxa" w:w="100"/>
              <w:bottom w:type="dxa" w:w="70"/>
              <w:right w:type="dxa" w:w="100"/>
            </w:tcMar>
          </w:tcPr>
          <w:p>
            <w:pPr>
              <w:spacing w:after="0" w:before="0" w:line="252"/>
            </w:pPr>
            <w:r>
              <w:rPr>
                <w:color w:val="1F2430"/>
                <w:sz w:val="17"/>
                <w:szCs w:val="17"/>
              </w:rPr>
              <w:t xml:space="preserve">§6.2 — V-T06</w:t>
            </w:r>
          </w:p>
        </w:tc>
      </w:tr>
      <w:tr>
        <w:tc>
          <w:tcPr>
            <w:tcW w:type="dxa" w:w="5427"/>
            <w:shd w:fill="F5F6FA" w:color="auto" w:val="clear"/>
            <w:tcMar>
              <w:top w:type="dxa" w:w="70"/>
              <w:left w:type="dxa" w:w="100"/>
              <w:bottom w:type="dxa" w:w="70"/>
              <w:right w:type="dxa" w:w="100"/>
            </w:tcMar>
          </w:tcPr>
          <w:p>
            <w:pPr>
              <w:spacing w:after="0" w:before="0" w:line="252"/>
            </w:pPr>
            <w:r>
              <w:rPr>
                <w:b/>
                <w:bCs/>
                <w:color w:val="1F2430"/>
                <w:sz w:val="17"/>
                <w:szCs w:val="17"/>
              </w:rPr>
              <w:t xml:space="preserve">Where the containers run</w:t>
            </w:r>
          </w:p>
        </w:tc>
        <w:tc>
          <w:tcPr>
            <w:tcW w:type="dxa" w:w="3095"/>
            <w:tcMar>
              <w:top w:type="dxa" w:w="70"/>
              <w:left w:type="dxa" w:w="100"/>
              <w:bottom w:type="dxa" w:w="70"/>
              <w:right w:type="dxa" w:w="100"/>
            </w:tcMar>
          </w:tcPr>
          <w:p>
            <w:pPr>
              <w:spacing w:after="0" w:before="0" w:line="252"/>
            </w:pPr>
            <w:r>
              <w:rPr>
                <w:color w:val="1F2430"/>
                <w:sz w:val="17"/>
                <w:szCs w:val="17"/>
              </w:rPr>
              <w:t xml:space="preserve">C4 Deployment view, container grain</w:t>
            </w:r>
          </w:p>
        </w:tc>
        <w:tc>
          <w:tcPr>
            <w:tcW w:type="dxa" w:w="1558"/>
            <w:tcMar>
              <w:top w:type="dxa" w:w="70"/>
              <w:left w:type="dxa" w:w="100"/>
              <w:bottom w:type="dxa" w:w="70"/>
              <w:right w:type="dxa" w:w="100"/>
            </w:tcMar>
          </w:tcPr>
          <w:p>
            <w:pPr>
              <w:spacing w:after="0" w:before="0" w:line="252"/>
            </w:pPr>
            <w:r>
              <w:rPr>
                <w:color w:val="1F2430"/>
                <w:sz w:val="17"/>
                <w:szCs w:val="17"/>
              </w:rPr>
              <w:t xml:space="preserve">§7 — V-T07</w:t>
            </w:r>
          </w:p>
        </w:tc>
      </w:tr>
      <w:tr>
        <w:tc>
          <w:tcPr>
            <w:tcW w:type="dxa" w:w="5427"/>
            <w:shd w:fill="F5F6FA" w:color="auto" w:val="clear"/>
            <w:tcMar>
              <w:top w:type="dxa" w:w="70"/>
              <w:left w:type="dxa" w:w="100"/>
              <w:bottom w:type="dxa" w:w="70"/>
              <w:right w:type="dxa" w:w="100"/>
            </w:tcMar>
          </w:tcPr>
          <w:p>
            <w:pPr>
              <w:spacing w:after="0" w:before="0" w:line="252"/>
            </w:pPr>
            <w:r>
              <w:rPr>
                <w:b/>
                <w:bCs/>
                <w:color w:val="1F2430"/>
                <w:sz w:val="17"/>
                <w:szCs w:val="17"/>
              </w:rPr>
              <w:t xml:space="preserve">What sits inside a container and what each part is responsible for</w:t>
            </w:r>
          </w:p>
        </w:tc>
        <w:tc>
          <w:tcPr>
            <w:tcW w:type="dxa" w:w="3095"/>
            <w:tcMar>
              <w:top w:type="dxa" w:w="70"/>
              <w:left w:type="dxa" w:w="100"/>
              <w:bottom w:type="dxa" w:w="70"/>
              <w:right w:type="dxa" w:w="100"/>
            </w:tcMar>
          </w:tcPr>
          <w:p>
            <w:pPr>
              <w:spacing w:after="0" w:before="0" w:line="252"/>
            </w:pPr>
            <w:r>
              <w:rPr>
                <w:color w:val="1F2430"/>
                <w:sz w:val="17"/>
                <w:szCs w:val="17"/>
              </w:rPr>
              <w:t xml:space="preserve">C4 L3 — Component</w:t>
            </w:r>
          </w:p>
        </w:tc>
        <w:tc>
          <w:tcPr>
            <w:tcW w:type="dxa" w:w="1558"/>
            <w:tcMar>
              <w:top w:type="dxa" w:w="70"/>
              <w:left w:type="dxa" w:w="100"/>
              <w:bottom w:type="dxa" w:w="70"/>
              <w:right w:type="dxa" w:w="100"/>
            </w:tcMar>
          </w:tcPr>
          <w:p>
            <w:pPr>
              <w:spacing w:after="0" w:before="0" w:line="252"/>
            </w:pPr>
            <w:r>
              <w:rPr>
                <w:color w:val="1F2430"/>
                <w:sz w:val="17"/>
                <w:szCs w:val="17"/>
              </w:rPr>
              <w:t xml:space="preserve">§5.1 — V-T03</w:t>
            </w:r>
          </w:p>
        </w:tc>
      </w:tr>
      <w:tr>
        <w:tc>
          <w:tcPr>
            <w:tcW w:type="dxa" w:w="5427"/>
            <w:shd w:fill="F5F6FA" w:color="auto" w:val="clear"/>
            <w:tcMar>
              <w:top w:type="dxa" w:w="70"/>
              <w:left w:type="dxa" w:w="100"/>
              <w:bottom w:type="dxa" w:w="70"/>
              <w:right w:type="dxa" w:w="100"/>
            </w:tcMar>
          </w:tcPr>
          <w:p>
            <w:pPr>
              <w:spacing w:after="0" w:before="0" w:line="252"/>
            </w:pPr>
            <w:r>
              <w:rPr>
                <w:b/>
                <w:bCs/>
                <w:color w:val="1F2430"/>
                <w:sz w:val="17"/>
                <w:szCs w:val="17"/>
              </w:rPr>
              <w:t xml:space="preserve">What the code does on the write path</w:t>
            </w:r>
          </w:p>
        </w:tc>
        <w:tc>
          <w:tcPr>
            <w:tcW w:type="dxa" w:w="3095"/>
            <w:tcMar>
              <w:top w:type="dxa" w:w="70"/>
              <w:left w:type="dxa" w:w="100"/>
              <w:bottom w:type="dxa" w:w="70"/>
              <w:right w:type="dxa" w:w="100"/>
            </w:tcMar>
          </w:tcPr>
          <w:p>
            <w:pPr>
              <w:spacing w:after="0" w:before="0" w:line="252"/>
            </w:pPr>
            <w:r>
              <w:rPr>
                <w:color w:val="1F2430"/>
                <w:sz w:val="17"/>
                <w:szCs w:val="17"/>
              </w:rPr>
              <w:t xml:space="preserve">C4 L4 — Code</w:t>
            </w:r>
          </w:p>
        </w:tc>
        <w:tc>
          <w:tcPr>
            <w:tcW w:type="dxa" w:w="1558"/>
            <w:tcMar>
              <w:top w:type="dxa" w:w="70"/>
              <w:left w:type="dxa" w:w="100"/>
              <w:bottom w:type="dxa" w:w="70"/>
              <w:right w:type="dxa" w:w="100"/>
            </w:tcMar>
          </w:tcPr>
          <w:p>
            <w:pPr>
              <w:spacing w:after="0" w:before="0" w:line="252"/>
            </w:pPr>
            <w:r>
              <w:rPr>
                <w:color w:val="1F2430"/>
                <w:sz w:val="17"/>
                <w:szCs w:val="17"/>
              </w:rPr>
              <w:t xml:space="preserve">§5.2 — V-T04</w:t>
            </w:r>
          </w:p>
        </w:tc>
      </w:tr>
    </w:tbl>
    <w:p>
      <w:pPr>
        <w:spacing w:after="140" w:before="0" w:line="264"/>
      </w:pPr>
    </w:p>
    <w:p>
      <w:pPr>
        <w:pStyle w:val="Heading2"/>
        <w:keepNext/>
        <w:spacing w:before="260" w:after="110" w:line="264"/>
        <w:outlineLvl w:val="1"/>
      </w:pPr>
      <w:r>
        <w:rPr>
          <w:b/>
          <w:bCs/>
          <w:color w:val="1A237E"/>
          <w:sz w:val="24"/>
          <w:szCs w:val="24"/>
        </w:rPr>
        <w:t xml:space="preserve">2.2 The container boundary rule</w:t>
      </w:r>
    </w:p>
    <w:p>
      <w:pPr>
        <w:spacing w:after="130" w:before="0" w:line="264"/>
      </w:pPr>
      <w:r>
        <w:rPr>
          <w:color w:val="1F2430"/>
          <w:sz w:val="20"/>
          <w:szCs w:val="20"/>
        </w:rPr>
        <w:t xml:space="preserve">CEF-CAP-TAD-001 records at §0.7 that the container boundary rule — instance grain or database grain — is </w:t>
      </w:r>
      <w:r>
        <w:rPr>
          <w:b/>
          <w:bCs/>
          <w:color w:val="1F2430"/>
          <w:sz w:val="20"/>
          <w:szCs w:val="20"/>
        </w:rPr>
        <w:t xml:space="preserve">formally unanswered</w:t>
      </w:r>
      <w:r>
        <w:rPr>
          <w:color w:val="1F2430"/>
          <w:sz w:val="20"/>
          <w:szCs w:val="20"/>
        </w:rPr>
        <w:t xml:space="preserve">, and draws V-02 at database grain because two independent places in that document already use that grain. The gap is owned by the Solution Architect.</w:t>
      </w:r>
    </w:p>
    <w:p>
      <w:pPr>
        <w:spacing w:after="130" w:before="0" w:line="264"/>
      </w:pPr>
      <w:r>
        <w:rPr>
          <w:b/>
          <w:bCs/>
          <w:color w:val="1F2430"/>
          <w:sz w:val="20"/>
          <w:szCs w:val="20"/>
        </w:rPr>
        <w:t xml:space="preserve">This instrument inherits the gap rather than closing it.</w:t>
      </w:r>
      <w:r>
        <w:rPr>
          <w:color w:val="1F2430"/>
          <w:sz w:val="20"/>
          <w:szCs w:val="20"/>
        </w:rPr>
        <w:t xml:space="preserve"> The target views are drawn at database grain to remain comparable with V-02. If the boundary rule is later settled at instance grain, CON03, CON04, CON08 and CON10 collapse in the current-state view and the equivalent target containers collapse with them. That would change the drawing; it would not change any decision recorded here, because the target design separates those stores by ownership regardless of how they are hosted.</w:t>
      </w:r>
    </w:p>
    <w:tbl>
      <w:tblPr>
        <w:tblW w:type="dxa" w:w="10080"/>
        <w:tblBorders>
          <w:top w:val="single" w:color="E65100" w:sz="2"/>
          <w:left w:val="single" w:color="E65100" w:sz="24"/>
          <w:bottom w:val="single" w:color="E65100" w:sz="2"/>
          <w:right w:val="single" w:color="E65100" w:sz="2"/>
          <w:insideH w:val="none"/>
          <w:insideV w:val="none"/>
        </w:tblBorders>
      </w:tblPr>
      <w:tblGrid>
        <w:gridCol w:w="10080"/>
      </w:tblGrid>
      <w:tr>
        <w:tc>
          <w:tcPr>
            <w:tcW w:type="dxa" w:w="10080"/>
            <w:shd w:fill="FFF3E0" w:color="auto" w:val="clear"/>
            <w:tcMar>
              <w:top w:type="dxa" w:w="130"/>
              <w:left w:type="dxa" w:w="180"/>
              <w:bottom w:type="dxa" w:w="130"/>
              <w:right w:type="dxa" w:w="160"/>
            </w:tcMar>
          </w:tcPr>
          <w:p>
            <w:pPr>
              <w:spacing w:after="0" w:before="0" w:line="264"/>
            </w:pPr>
            <w:r>
              <w:rPr>
                <w:b/>
                <w:bCs/>
                <w:color w:val="1F2430"/>
                <w:sz w:val="19"/>
                <w:szCs w:val="19"/>
              </w:rPr>
              <w:t xml:space="preserve">[GAP: §0.7 remains open and is inherited by this instrument. Target views are drawn at database grain for comparability with V-02. — owner: Solution Architect]</w:t>
            </w:r>
          </w:p>
        </w:tc>
      </w:tr>
    </w:tbl>
    <w:p>
      <w:pPr>
        <w:spacing w:after="200" w:before="0" w:line="264"/>
      </w:pPr>
    </w:p>
    <w:p>
      <w:pPr>
        <w:pStyle w:val="Heading2"/>
        <w:keepNext/>
        <w:spacing w:before="260" w:after="110" w:line="264"/>
        <w:outlineLvl w:val="1"/>
      </w:pPr>
      <w:r>
        <w:rPr>
          <w:b/>
          <w:bCs/>
          <w:color w:val="1A237E"/>
          <w:sz w:val="24"/>
          <w:szCs w:val="24"/>
        </w:rPr>
        <w:t xml:space="preserve">2.3 Target view index</w:t>
      </w:r>
    </w:p>
    <w:tbl>
      <w:tblPr>
        <w:tblW w:type="dxa" w:w="10080"/>
        <w:tblBorders>
          <w:top w:val="single" w:color="9FA8DA" w:sz="4"/>
          <w:left w:val="single" w:color="9FA8DA" w:sz="4"/>
          <w:bottom w:val="single" w:color="9FA8DA" w:sz="4"/>
          <w:right w:val="single" w:color="9FA8DA" w:sz="4"/>
          <w:insideH w:val="single" w:color="C5CAE9" w:sz="2"/>
          <w:insideV w:val="single" w:color="C5CAE9" w:sz="2"/>
        </w:tblBorders>
      </w:tblPr>
      <w:tblGrid>
        <w:gridCol w:w="700"/>
        <w:gridCol w:w="1764"/>
        <w:gridCol w:w="2501"/>
        <w:gridCol w:w="3871"/>
        <w:gridCol w:w="1244"/>
      </w:tblGrid>
      <w:tr>
        <w:trPr>
          <w:tblHeader/>
          <w:cantSplit/>
        </w:trPr>
        <w:tc>
          <w:tcPr>
            <w:tcW w:type="dxa" w:w="700"/>
            <w:shd w:fill="1A237E" w:color="auto" w:val="clear"/>
            <w:tcMar>
              <w:top w:type="dxa" w:w="70"/>
              <w:left w:type="dxa" w:w="100"/>
              <w:bottom w:type="dxa" w:w="70"/>
              <w:right w:type="dxa" w:w="100"/>
            </w:tcMar>
            <w:vAlign w:val="center"/>
          </w:tcPr>
          <w:p>
            <w:pPr>
              <w:spacing w:after="0" w:before="0" w:line="252"/>
            </w:pPr>
            <w:r>
              <w:rPr>
                <w:b/>
                <w:bCs/>
                <w:color w:val="FFFFFF"/>
                <w:sz w:val="17"/>
                <w:szCs w:val="17"/>
              </w:rPr>
              <w:t xml:space="preserve">View ID</w:t>
            </w:r>
          </w:p>
        </w:tc>
        <w:tc>
          <w:tcPr>
            <w:tcW w:type="dxa" w:w="1764"/>
            <w:shd w:fill="1A237E" w:color="auto" w:val="clear"/>
            <w:tcMar>
              <w:top w:type="dxa" w:w="70"/>
              <w:left w:type="dxa" w:w="100"/>
              <w:bottom w:type="dxa" w:w="70"/>
              <w:right w:type="dxa" w:w="100"/>
            </w:tcMar>
            <w:vAlign w:val="center"/>
          </w:tcPr>
          <w:p>
            <w:pPr>
              <w:spacing w:after="0" w:before="0" w:line="252"/>
            </w:pPr>
            <w:r>
              <w:rPr>
                <w:b/>
                <w:bCs/>
                <w:color w:val="FFFFFF"/>
                <w:sz w:val="17"/>
                <w:szCs w:val="17"/>
              </w:rPr>
              <w:t xml:space="preserve">C4 level / type</w:t>
            </w:r>
          </w:p>
        </w:tc>
        <w:tc>
          <w:tcPr>
            <w:tcW w:type="dxa" w:w="2501"/>
            <w:shd w:fill="1A237E" w:color="auto" w:val="clear"/>
            <w:tcMar>
              <w:top w:type="dxa" w:w="70"/>
              <w:left w:type="dxa" w:w="100"/>
              <w:bottom w:type="dxa" w:w="70"/>
              <w:right w:type="dxa" w:w="100"/>
            </w:tcMar>
            <w:vAlign w:val="center"/>
          </w:tcPr>
          <w:p>
            <w:pPr>
              <w:spacing w:after="0" w:before="0" w:line="252"/>
            </w:pPr>
            <w:r>
              <w:rPr>
                <w:b/>
                <w:bCs/>
                <w:color w:val="FFFFFF"/>
                <w:sz w:val="17"/>
                <w:szCs w:val="17"/>
              </w:rPr>
              <w:t xml:space="preserve">View name</w:t>
            </w:r>
          </w:p>
        </w:tc>
        <w:tc>
          <w:tcPr>
            <w:tcW w:type="dxa" w:w="3871"/>
            <w:shd w:fill="1A237E" w:color="auto" w:val="clear"/>
            <w:tcMar>
              <w:top w:type="dxa" w:w="70"/>
              <w:left w:type="dxa" w:w="100"/>
              <w:bottom w:type="dxa" w:w="70"/>
              <w:right w:type="dxa" w:w="100"/>
            </w:tcMar>
            <w:vAlign w:val="center"/>
          </w:tcPr>
          <w:p>
            <w:pPr>
              <w:spacing w:after="0" w:before="0" w:line="252"/>
            </w:pPr>
            <w:r>
              <w:rPr>
                <w:b/>
                <w:bCs/>
                <w:color w:val="FFFFFF"/>
                <w:sz w:val="17"/>
                <w:szCs w:val="17"/>
              </w:rPr>
              <w:t xml:space="preserve">Question it answers</w:t>
            </w:r>
          </w:p>
        </w:tc>
        <w:tc>
          <w:tcPr>
            <w:tcW w:type="dxa" w:w="1244"/>
            <w:shd w:fill="1A237E" w:color="auto" w:val="clear"/>
            <w:tcMar>
              <w:top w:type="dxa" w:w="70"/>
              <w:left w:type="dxa" w:w="100"/>
              <w:bottom w:type="dxa" w:w="70"/>
              <w:right w:type="dxa" w:w="100"/>
            </w:tcMar>
            <w:vAlign w:val="center"/>
          </w:tcPr>
          <w:p>
            <w:pPr>
              <w:spacing w:after="0" w:before="0" w:line="252"/>
            </w:pPr>
            <w:r>
              <w:rPr>
                <w:b/>
                <w:bCs/>
                <w:color w:val="FFFFFF"/>
                <w:sz w:val="17"/>
                <w:szCs w:val="17"/>
              </w:rPr>
              <w:t xml:space="preserve">Status</w:t>
            </w:r>
          </w:p>
        </w:tc>
      </w:tr>
      <w:tr>
        <w:tc>
          <w:tcPr>
            <w:tcW w:type="dxa" w:w="700"/>
            <w:shd w:fill="F5F6FA" w:color="auto" w:val="clear"/>
            <w:tcMar>
              <w:top w:type="dxa" w:w="70"/>
              <w:left w:type="dxa" w:w="100"/>
              <w:bottom w:type="dxa" w:w="70"/>
              <w:right w:type="dxa" w:w="100"/>
            </w:tcMar>
          </w:tcPr>
          <w:p>
            <w:pPr>
              <w:spacing w:after="0" w:before="0" w:line="252"/>
            </w:pPr>
            <w:r>
              <w:rPr>
                <w:b/>
                <w:bCs/>
                <w:color w:val="1F2430"/>
                <w:sz w:val="17"/>
                <w:szCs w:val="17"/>
              </w:rPr>
              <w:t xml:space="preserve">V-T01</w:t>
            </w:r>
          </w:p>
        </w:tc>
        <w:tc>
          <w:tcPr>
            <w:tcW w:type="dxa" w:w="1764"/>
            <w:tcMar>
              <w:top w:type="dxa" w:w="70"/>
              <w:left w:type="dxa" w:w="100"/>
              <w:bottom w:type="dxa" w:w="70"/>
              <w:right w:type="dxa" w:w="100"/>
            </w:tcMar>
          </w:tcPr>
          <w:p>
            <w:pPr>
              <w:spacing w:after="0" w:before="0" w:line="252"/>
            </w:pPr>
            <w:r>
              <w:rPr>
                <w:color w:val="1F2430"/>
                <w:sz w:val="17"/>
                <w:szCs w:val="17"/>
              </w:rPr>
              <w:t xml:space="preserve">L1 System Context</w:t>
            </w:r>
          </w:p>
        </w:tc>
        <w:tc>
          <w:tcPr>
            <w:tcW w:type="dxa" w:w="2501"/>
            <w:tcMar>
              <w:top w:type="dxa" w:w="70"/>
              <w:left w:type="dxa" w:w="100"/>
              <w:bottom w:type="dxa" w:w="70"/>
              <w:right w:type="dxa" w:w="100"/>
            </w:tcMar>
          </w:tcPr>
          <w:p>
            <w:pPr>
              <w:spacing w:after="0" w:before="0" w:line="252"/>
            </w:pPr>
            <w:r>
              <w:rPr>
                <w:color w:val="1F2430"/>
                <w:sz w:val="17"/>
                <w:szCs w:val="17"/>
              </w:rPr>
              <w:t xml:space="preserve">CEF platform — target operating context</w:t>
            </w:r>
          </w:p>
        </w:tc>
        <w:tc>
          <w:tcPr>
            <w:tcW w:type="dxa" w:w="3871"/>
            <w:tcMar>
              <w:top w:type="dxa" w:w="70"/>
              <w:left w:type="dxa" w:w="100"/>
              <w:bottom w:type="dxa" w:w="70"/>
              <w:right w:type="dxa" w:w="100"/>
            </w:tcMar>
          </w:tcPr>
          <w:p>
            <w:pPr>
              <w:spacing w:after="0" w:before="0" w:line="252"/>
            </w:pPr>
            <w:r>
              <w:rPr>
                <w:color w:val="1F2430"/>
                <w:sz w:val="17"/>
                <w:szCs w:val="17"/>
              </w:rPr>
              <w:t xml:space="preserve">What is inside the boundary, who uses it, which external systems remain</w:t>
            </w:r>
          </w:p>
        </w:tc>
        <w:tc>
          <w:tcPr>
            <w:tcW w:type="dxa" w:w="1244"/>
            <w:tcMar>
              <w:top w:type="dxa" w:w="70"/>
              <w:left w:type="dxa" w:w="100"/>
              <w:bottom w:type="dxa" w:w="70"/>
              <w:right w:type="dxa" w:w="100"/>
            </w:tcMar>
          </w:tcPr>
          <w:p>
            <w:pPr>
              <w:spacing w:after="0" w:before="0" w:line="252"/>
            </w:pPr>
            <w:r>
              <w:rPr>
                <w:color w:val="1F2430"/>
                <w:sz w:val="17"/>
                <w:szCs w:val="17"/>
              </w:rPr>
              <w:t xml:space="preserve">Drawn — Figure 4.1</w:t>
            </w:r>
          </w:p>
        </w:tc>
      </w:tr>
      <w:tr>
        <w:tc>
          <w:tcPr>
            <w:tcW w:type="dxa" w:w="700"/>
            <w:shd w:fill="F5F6FA" w:color="auto" w:val="clear"/>
            <w:tcMar>
              <w:top w:type="dxa" w:w="70"/>
              <w:left w:type="dxa" w:w="100"/>
              <w:bottom w:type="dxa" w:w="70"/>
              <w:right w:type="dxa" w:w="100"/>
            </w:tcMar>
          </w:tcPr>
          <w:p>
            <w:pPr>
              <w:spacing w:after="0" w:before="0" w:line="252"/>
            </w:pPr>
            <w:r>
              <w:rPr>
                <w:b/>
                <w:bCs/>
                <w:color w:val="1F2430"/>
                <w:sz w:val="17"/>
                <w:szCs w:val="17"/>
              </w:rPr>
              <w:t xml:space="preserve">V-T02</w:t>
            </w:r>
          </w:p>
        </w:tc>
        <w:tc>
          <w:tcPr>
            <w:tcW w:type="dxa" w:w="1764"/>
            <w:tcMar>
              <w:top w:type="dxa" w:w="70"/>
              <w:left w:type="dxa" w:w="100"/>
              <w:bottom w:type="dxa" w:w="70"/>
              <w:right w:type="dxa" w:w="100"/>
            </w:tcMar>
          </w:tcPr>
          <w:p>
            <w:pPr>
              <w:spacing w:after="0" w:before="0" w:line="252"/>
            </w:pPr>
            <w:r>
              <w:rPr>
                <w:color w:val="1F2430"/>
                <w:sz w:val="17"/>
                <w:szCs w:val="17"/>
              </w:rPr>
              <w:t xml:space="preserve">L2 Container</w:t>
            </w:r>
          </w:p>
        </w:tc>
        <w:tc>
          <w:tcPr>
            <w:tcW w:type="dxa" w:w="2501"/>
            <w:tcMar>
              <w:top w:type="dxa" w:w="70"/>
              <w:left w:type="dxa" w:w="100"/>
              <w:bottom w:type="dxa" w:w="70"/>
              <w:right w:type="dxa" w:w="100"/>
            </w:tcMar>
          </w:tcPr>
          <w:p>
            <w:pPr>
              <w:spacing w:after="0" w:before="0" w:line="252"/>
            </w:pPr>
            <w:r>
              <w:rPr>
                <w:color w:val="1F2430"/>
                <w:sz w:val="17"/>
                <w:szCs w:val="17"/>
              </w:rPr>
              <w:t xml:space="preserve">The twelve containers, re-platformed</w:t>
            </w:r>
          </w:p>
        </w:tc>
        <w:tc>
          <w:tcPr>
            <w:tcW w:type="dxa" w:w="3871"/>
            <w:tcMar>
              <w:top w:type="dxa" w:w="70"/>
              <w:left w:type="dxa" w:w="100"/>
              <w:bottom w:type="dxa" w:w="70"/>
              <w:right w:type="dxa" w:w="100"/>
            </w:tcMar>
          </w:tcPr>
          <w:p>
            <w:pPr>
              <w:spacing w:after="0" w:before="0" w:line="252"/>
            </w:pPr>
            <w:r>
              <w:rPr>
                <w:color w:val="1F2430"/>
                <w:sz w:val="17"/>
                <w:szCs w:val="17"/>
              </w:rPr>
              <w:t xml:space="preserve">What each container becomes, in which repository, on what technology</w:t>
            </w:r>
          </w:p>
        </w:tc>
        <w:tc>
          <w:tcPr>
            <w:tcW w:type="dxa" w:w="1244"/>
            <w:tcMar>
              <w:top w:type="dxa" w:w="70"/>
              <w:left w:type="dxa" w:w="100"/>
              <w:bottom w:type="dxa" w:w="70"/>
              <w:right w:type="dxa" w:w="100"/>
            </w:tcMar>
          </w:tcPr>
          <w:p>
            <w:pPr>
              <w:spacing w:after="0" w:before="0" w:line="252"/>
            </w:pPr>
            <w:r>
              <w:rPr>
                <w:color w:val="1F2430"/>
                <w:sz w:val="17"/>
                <w:szCs w:val="17"/>
              </w:rPr>
              <w:t xml:space="preserve">Drawn — Figure 4.2</w:t>
            </w:r>
          </w:p>
        </w:tc>
      </w:tr>
      <w:tr>
        <w:tc>
          <w:tcPr>
            <w:tcW w:type="dxa" w:w="700"/>
            <w:shd w:fill="F5F6FA" w:color="auto" w:val="clear"/>
            <w:tcMar>
              <w:top w:type="dxa" w:w="70"/>
              <w:left w:type="dxa" w:w="100"/>
              <w:bottom w:type="dxa" w:w="70"/>
              <w:right w:type="dxa" w:w="100"/>
            </w:tcMar>
          </w:tcPr>
          <w:p>
            <w:pPr>
              <w:spacing w:after="0" w:before="0" w:line="252"/>
            </w:pPr>
            <w:r>
              <w:rPr>
                <w:b/>
                <w:bCs/>
                <w:color w:val="1F2430"/>
                <w:sz w:val="17"/>
                <w:szCs w:val="17"/>
              </w:rPr>
              <w:t xml:space="preserve">V-T03</w:t>
            </w:r>
          </w:p>
        </w:tc>
        <w:tc>
          <w:tcPr>
            <w:tcW w:type="dxa" w:w="1764"/>
            <w:tcMar>
              <w:top w:type="dxa" w:w="70"/>
              <w:left w:type="dxa" w:w="100"/>
              <w:bottom w:type="dxa" w:w="70"/>
              <w:right w:type="dxa" w:w="100"/>
            </w:tcMar>
          </w:tcPr>
          <w:p>
            <w:pPr>
              <w:spacing w:after="0" w:before="0" w:line="252"/>
            </w:pPr>
            <w:r>
              <w:rPr>
                <w:color w:val="1F2430"/>
                <w:sz w:val="17"/>
                <w:szCs w:val="17"/>
              </w:rPr>
              <w:t xml:space="preserve">L3 Component</w:t>
            </w:r>
          </w:p>
        </w:tc>
        <w:tc>
          <w:tcPr>
            <w:tcW w:type="dxa" w:w="2501"/>
            <w:tcMar>
              <w:top w:type="dxa" w:w="70"/>
              <w:left w:type="dxa" w:w="100"/>
              <w:bottom w:type="dxa" w:w="70"/>
              <w:right w:type="dxa" w:w="100"/>
            </w:tcMar>
          </w:tcPr>
          <w:p>
            <w:pPr>
              <w:spacing w:after="0" w:before="0" w:line="252"/>
            </w:pPr>
            <w:r>
              <w:rPr>
                <w:color w:val="1F2430"/>
                <w:sz w:val="17"/>
                <w:szCs w:val="17"/>
              </w:rPr>
              <w:t xml:space="preserve">CAP-C4-CON01 Capitation Calculation Service</w:t>
            </w:r>
          </w:p>
        </w:tc>
        <w:tc>
          <w:tcPr>
            <w:tcW w:type="dxa" w:w="3871"/>
            <w:tcMar>
              <w:top w:type="dxa" w:w="70"/>
              <w:left w:type="dxa" w:w="100"/>
              <w:bottom w:type="dxa" w:w="70"/>
              <w:right w:type="dxa" w:w="100"/>
            </w:tcMar>
          </w:tcPr>
          <w:p>
            <w:pPr>
              <w:spacing w:after="0" w:before="0" w:line="252"/>
            </w:pPr>
            <w:r>
              <w:rPr>
                <w:color w:val="1F2430"/>
                <w:sz w:val="17"/>
                <w:szCs w:val="17"/>
              </w:rPr>
              <w:t xml:space="preserve">What sits inside the calculation container once the vendor chain is removed</w:t>
            </w:r>
          </w:p>
        </w:tc>
        <w:tc>
          <w:tcPr>
            <w:tcW w:type="dxa" w:w="1244"/>
            <w:tcMar>
              <w:top w:type="dxa" w:w="70"/>
              <w:left w:type="dxa" w:w="100"/>
              <w:bottom w:type="dxa" w:w="70"/>
              <w:right w:type="dxa" w:w="100"/>
            </w:tcMar>
          </w:tcPr>
          <w:p>
            <w:pPr>
              <w:spacing w:after="0" w:before="0" w:line="252"/>
            </w:pPr>
            <w:r>
              <w:rPr>
                <w:color w:val="1F2430"/>
                <w:sz w:val="17"/>
                <w:szCs w:val="17"/>
              </w:rPr>
              <w:t xml:space="preserve">Drawn — Figure 5.1</w:t>
            </w:r>
          </w:p>
        </w:tc>
      </w:tr>
      <w:tr>
        <w:tc>
          <w:tcPr>
            <w:tcW w:type="dxa" w:w="700"/>
            <w:shd w:fill="F5F6FA" w:color="auto" w:val="clear"/>
            <w:tcMar>
              <w:top w:type="dxa" w:w="70"/>
              <w:left w:type="dxa" w:w="100"/>
              <w:bottom w:type="dxa" w:w="70"/>
              <w:right w:type="dxa" w:w="100"/>
            </w:tcMar>
          </w:tcPr>
          <w:p>
            <w:pPr>
              <w:spacing w:after="0" w:before="0" w:line="252"/>
            </w:pPr>
            <w:r>
              <w:rPr>
                <w:b/>
                <w:bCs/>
                <w:color w:val="1F2430"/>
                <w:sz w:val="17"/>
                <w:szCs w:val="17"/>
              </w:rPr>
              <w:t xml:space="preserve">V-T04</w:t>
            </w:r>
          </w:p>
        </w:tc>
        <w:tc>
          <w:tcPr>
            <w:tcW w:type="dxa" w:w="1764"/>
            <w:tcMar>
              <w:top w:type="dxa" w:w="70"/>
              <w:left w:type="dxa" w:w="100"/>
              <w:bottom w:type="dxa" w:w="70"/>
              <w:right w:type="dxa" w:w="100"/>
            </w:tcMar>
          </w:tcPr>
          <w:p>
            <w:pPr>
              <w:spacing w:after="0" w:before="0" w:line="252"/>
            </w:pPr>
            <w:r>
              <w:rPr>
                <w:color w:val="1F2430"/>
                <w:sz w:val="17"/>
                <w:szCs w:val="17"/>
              </w:rPr>
              <w:t xml:space="preserve">L4 Code</w:t>
            </w:r>
          </w:p>
        </w:tc>
        <w:tc>
          <w:tcPr>
            <w:tcW w:type="dxa" w:w="2501"/>
            <w:tcMar>
              <w:top w:type="dxa" w:w="70"/>
              <w:left w:type="dxa" w:w="100"/>
              <w:bottom w:type="dxa" w:w="70"/>
              <w:right w:type="dxa" w:w="100"/>
            </w:tcMar>
          </w:tcPr>
          <w:p>
            <w:pPr>
              <w:spacing w:after="0" w:before="0" w:line="252"/>
            </w:pPr>
            <w:r>
              <w:rPr>
                <w:color w:val="1F2430"/>
                <w:sz w:val="17"/>
                <w:szCs w:val="17"/>
              </w:rPr>
              <w:t xml:space="preserve">Voucher and payment write path</w:t>
            </w:r>
          </w:p>
        </w:tc>
        <w:tc>
          <w:tcPr>
            <w:tcW w:type="dxa" w:w="3871"/>
            <w:tcMar>
              <w:top w:type="dxa" w:w="70"/>
              <w:left w:type="dxa" w:w="100"/>
              <w:bottom w:type="dxa" w:w="70"/>
              <w:right w:type="dxa" w:w="100"/>
            </w:tcMar>
          </w:tcPr>
          <w:p>
            <w:pPr>
              <w:spacing w:after="0" w:before="0" w:line="252"/>
            </w:pPr>
            <w:r>
              <w:rPr>
                <w:color w:val="1F2430"/>
                <w:sz w:val="17"/>
                <w:szCs w:val="17"/>
              </w:rPr>
              <w:t xml:space="preserve">What the code does on the write path, and which defect class that removes</w:t>
            </w:r>
          </w:p>
        </w:tc>
        <w:tc>
          <w:tcPr>
            <w:tcW w:type="dxa" w:w="1244"/>
            <w:tcMar>
              <w:top w:type="dxa" w:w="70"/>
              <w:left w:type="dxa" w:w="100"/>
              <w:bottom w:type="dxa" w:w="70"/>
              <w:right w:type="dxa" w:w="100"/>
            </w:tcMar>
          </w:tcPr>
          <w:p>
            <w:pPr>
              <w:spacing w:after="0" w:before="0" w:line="252"/>
            </w:pPr>
            <w:r>
              <w:rPr>
                <w:color w:val="1F2430"/>
                <w:sz w:val="17"/>
                <w:szCs w:val="17"/>
              </w:rPr>
              <w:t xml:space="preserve">Drawn — Figure 5.2</w:t>
            </w:r>
          </w:p>
        </w:tc>
      </w:tr>
      <w:tr>
        <w:tc>
          <w:tcPr>
            <w:tcW w:type="dxa" w:w="700"/>
            <w:shd w:fill="F5F6FA" w:color="auto" w:val="clear"/>
            <w:tcMar>
              <w:top w:type="dxa" w:w="70"/>
              <w:left w:type="dxa" w:w="100"/>
              <w:bottom w:type="dxa" w:w="70"/>
              <w:right w:type="dxa" w:w="100"/>
            </w:tcMar>
          </w:tcPr>
          <w:p>
            <w:pPr>
              <w:spacing w:after="0" w:before="0" w:line="252"/>
            </w:pPr>
            <w:r>
              <w:rPr>
                <w:b/>
                <w:bCs/>
                <w:color w:val="1F2430"/>
                <w:sz w:val="17"/>
                <w:szCs w:val="17"/>
              </w:rPr>
              <w:t xml:space="preserve">V-T05</w:t>
            </w:r>
          </w:p>
        </w:tc>
        <w:tc>
          <w:tcPr>
            <w:tcW w:type="dxa" w:w="1764"/>
            <w:tcMar>
              <w:top w:type="dxa" w:w="70"/>
              <w:left w:type="dxa" w:w="100"/>
              <w:bottom w:type="dxa" w:w="70"/>
              <w:right w:type="dxa" w:w="100"/>
            </w:tcMar>
          </w:tcPr>
          <w:p>
            <w:pPr>
              <w:spacing w:after="0" w:before="0" w:line="252"/>
            </w:pPr>
            <w:r>
              <w:rPr>
                <w:color w:val="1F2430"/>
                <w:sz w:val="17"/>
                <w:szCs w:val="17"/>
              </w:rPr>
              <w:t xml:space="preserve">Dynamic, </w:t>
            </w:r>
            <w:r>
              <w:rPr>
                <w:b/>
                <w:bCs/>
                <w:color w:val="1F2430"/>
                <w:sz w:val="17"/>
                <w:szCs w:val="17"/>
              </w:rPr>
              <w:t xml:space="preserve">stage grain</w:t>
            </w:r>
          </w:p>
        </w:tc>
        <w:tc>
          <w:tcPr>
            <w:tcW w:type="dxa" w:w="2501"/>
            <w:tcMar>
              <w:top w:type="dxa" w:w="70"/>
              <w:left w:type="dxa" w:w="100"/>
              <w:bottom w:type="dxa" w:w="70"/>
              <w:right w:type="dxa" w:w="100"/>
            </w:tcMar>
          </w:tcPr>
          <w:p>
            <w:pPr>
              <w:spacing w:after="0" w:before="0" w:line="252"/>
            </w:pPr>
            <w:r>
              <w:rPr>
                <w:color w:val="1F2430"/>
                <w:sz w:val="17"/>
                <w:szCs w:val="17"/>
              </w:rPr>
              <w:t xml:space="preserve">Target end-to-end capitation</w:t>
            </w:r>
          </w:p>
        </w:tc>
        <w:tc>
          <w:tcPr>
            <w:tcW w:type="dxa" w:w="3871"/>
            <w:tcMar>
              <w:top w:type="dxa" w:w="70"/>
              <w:left w:type="dxa" w:w="100"/>
              <w:bottom w:type="dxa" w:w="70"/>
              <w:right w:type="dxa" w:w="100"/>
            </w:tcMar>
          </w:tcPr>
          <w:p>
            <w:pPr>
              <w:spacing w:after="0" w:before="0" w:line="252"/>
            </w:pPr>
            <w:r>
              <w:rPr>
                <w:color w:val="1F2430"/>
                <w:sz w:val="17"/>
                <w:szCs w:val="17"/>
              </w:rPr>
              <w:t xml:space="preserve">How CAP-S-01 to CAP-S-15 execute once dispatch is event-driven and correlated</w:t>
            </w:r>
          </w:p>
        </w:tc>
        <w:tc>
          <w:tcPr>
            <w:tcW w:type="dxa" w:w="1244"/>
            <w:tcMar>
              <w:top w:type="dxa" w:w="70"/>
              <w:left w:type="dxa" w:w="100"/>
              <w:bottom w:type="dxa" w:w="70"/>
              <w:right w:type="dxa" w:w="100"/>
            </w:tcMar>
          </w:tcPr>
          <w:p>
            <w:pPr>
              <w:spacing w:after="0" w:before="0" w:line="252"/>
            </w:pPr>
            <w:r>
              <w:rPr>
                <w:color w:val="1F2430"/>
                <w:sz w:val="17"/>
                <w:szCs w:val="17"/>
              </w:rPr>
              <w:t xml:space="preserve">Drawn — Figure 6.1</w:t>
            </w:r>
          </w:p>
        </w:tc>
      </w:tr>
      <w:tr>
        <w:tc>
          <w:tcPr>
            <w:tcW w:type="dxa" w:w="700"/>
            <w:shd w:fill="F5F6FA" w:color="auto" w:val="clear"/>
            <w:tcMar>
              <w:top w:type="dxa" w:w="70"/>
              <w:left w:type="dxa" w:w="100"/>
              <w:bottom w:type="dxa" w:w="70"/>
              <w:right w:type="dxa" w:w="100"/>
            </w:tcMar>
          </w:tcPr>
          <w:p>
            <w:pPr>
              <w:spacing w:after="0" w:before="0" w:line="252"/>
            </w:pPr>
            <w:r>
              <w:rPr>
                <w:b/>
                <w:bCs/>
                <w:color w:val="1F2430"/>
                <w:sz w:val="17"/>
                <w:szCs w:val="17"/>
              </w:rPr>
              <w:t xml:space="preserve">V-T06</w:t>
            </w:r>
          </w:p>
        </w:tc>
        <w:tc>
          <w:tcPr>
            <w:tcW w:type="dxa" w:w="1764"/>
            <w:tcMar>
              <w:top w:type="dxa" w:w="70"/>
              <w:left w:type="dxa" w:w="100"/>
              <w:bottom w:type="dxa" w:w="70"/>
              <w:right w:type="dxa" w:w="100"/>
            </w:tcMar>
          </w:tcPr>
          <w:p>
            <w:pPr>
              <w:spacing w:after="0" w:before="0" w:line="252"/>
            </w:pPr>
            <w:r>
              <w:rPr>
                <w:color w:val="1F2430"/>
                <w:sz w:val="17"/>
                <w:szCs w:val="17"/>
              </w:rPr>
              <w:t xml:space="preserve">L2 Dynamic, </w:t>
            </w:r>
            <w:r>
              <w:rPr>
                <w:b/>
                <w:bCs/>
                <w:color w:val="1F2430"/>
                <w:sz w:val="17"/>
                <w:szCs w:val="17"/>
              </w:rPr>
              <w:t xml:space="preserve">container grain</w:t>
            </w:r>
          </w:p>
        </w:tc>
        <w:tc>
          <w:tcPr>
            <w:tcW w:type="dxa" w:w="2501"/>
            <w:tcMar>
              <w:top w:type="dxa" w:w="70"/>
              <w:left w:type="dxa" w:w="100"/>
              <w:bottom w:type="dxa" w:w="70"/>
              <w:right w:type="dxa" w:w="100"/>
            </w:tcMar>
          </w:tcPr>
          <w:p>
            <w:pPr>
              <w:spacing w:after="0" w:before="0" w:line="252"/>
            </w:pPr>
            <w:r>
              <w:rPr>
                <w:color w:val="1F2430"/>
                <w:sz w:val="17"/>
                <w:szCs w:val="17"/>
              </w:rPr>
              <w:t xml:space="preserve">Target regular monthly cycle</w:t>
            </w:r>
          </w:p>
        </w:tc>
        <w:tc>
          <w:tcPr>
            <w:tcW w:type="dxa" w:w="3871"/>
            <w:tcMar>
              <w:top w:type="dxa" w:w="70"/>
              <w:left w:type="dxa" w:w="100"/>
              <w:bottom w:type="dxa" w:w="70"/>
              <w:right w:type="dxa" w:w="100"/>
            </w:tcMar>
          </w:tcPr>
          <w:p>
            <w:pPr>
              <w:spacing w:after="0" w:before="0" w:line="252"/>
            </w:pPr>
            <w:r>
              <w:rPr>
                <w:color w:val="1F2430"/>
                <w:sz w:val="17"/>
                <w:szCs w:val="17"/>
              </w:rPr>
              <w:t xml:space="preserve">What happens, in what order, across containers — one step per stage</w:t>
            </w:r>
          </w:p>
        </w:tc>
        <w:tc>
          <w:tcPr>
            <w:tcW w:type="dxa" w:w="1244"/>
            <w:tcMar>
              <w:top w:type="dxa" w:w="70"/>
              <w:left w:type="dxa" w:w="100"/>
              <w:bottom w:type="dxa" w:w="70"/>
              <w:right w:type="dxa" w:w="100"/>
            </w:tcMar>
          </w:tcPr>
          <w:p>
            <w:pPr>
              <w:spacing w:after="0" w:before="0" w:line="252"/>
            </w:pPr>
            <w:r>
              <w:rPr>
                <w:color w:val="1F2430"/>
                <w:sz w:val="17"/>
                <w:szCs w:val="17"/>
              </w:rPr>
              <w:t xml:space="preserve">Drawn — Figure 6.2</w:t>
            </w:r>
          </w:p>
        </w:tc>
      </w:tr>
      <w:tr>
        <w:tc>
          <w:tcPr>
            <w:tcW w:type="dxa" w:w="700"/>
            <w:shd w:fill="F5F6FA" w:color="auto" w:val="clear"/>
            <w:tcMar>
              <w:top w:type="dxa" w:w="70"/>
              <w:left w:type="dxa" w:w="100"/>
              <w:bottom w:type="dxa" w:w="70"/>
              <w:right w:type="dxa" w:w="100"/>
            </w:tcMar>
          </w:tcPr>
          <w:p>
            <w:pPr>
              <w:spacing w:after="0" w:before="0" w:line="252"/>
            </w:pPr>
            <w:r>
              <w:rPr>
                <w:b/>
                <w:bCs/>
                <w:color w:val="1F2430"/>
                <w:sz w:val="17"/>
                <w:szCs w:val="17"/>
              </w:rPr>
              <w:t xml:space="preserve">V-T07</w:t>
            </w:r>
          </w:p>
        </w:tc>
        <w:tc>
          <w:tcPr>
            <w:tcW w:type="dxa" w:w="1764"/>
            <w:tcMar>
              <w:top w:type="dxa" w:w="70"/>
              <w:left w:type="dxa" w:w="100"/>
              <w:bottom w:type="dxa" w:w="70"/>
              <w:right w:type="dxa" w:w="100"/>
            </w:tcMar>
          </w:tcPr>
          <w:p>
            <w:pPr>
              <w:spacing w:after="0" w:before="0" w:line="252"/>
            </w:pPr>
            <w:r>
              <w:rPr>
                <w:color w:val="1F2430"/>
                <w:sz w:val="17"/>
                <w:szCs w:val="17"/>
              </w:rPr>
              <w:t xml:space="preserve">L2 Deployment</w:t>
            </w:r>
          </w:p>
        </w:tc>
        <w:tc>
          <w:tcPr>
            <w:tcW w:type="dxa" w:w="2501"/>
            <w:tcMar>
              <w:top w:type="dxa" w:w="70"/>
              <w:left w:type="dxa" w:w="100"/>
              <w:bottom w:type="dxa" w:w="70"/>
              <w:right w:type="dxa" w:w="100"/>
            </w:tcMar>
          </w:tcPr>
          <w:p>
            <w:pPr>
              <w:spacing w:after="0" w:before="0" w:line="252"/>
            </w:pPr>
            <w:r>
              <w:rPr>
                <w:color w:val="1F2430"/>
                <w:sz w:val="17"/>
                <w:szCs w:val="17"/>
              </w:rPr>
              <w:t xml:space="preserve">Target deployment</w:t>
            </w:r>
          </w:p>
        </w:tc>
        <w:tc>
          <w:tcPr>
            <w:tcW w:type="dxa" w:w="3871"/>
            <w:tcMar>
              <w:top w:type="dxa" w:w="70"/>
              <w:left w:type="dxa" w:w="100"/>
              <w:bottom w:type="dxa" w:w="70"/>
              <w:right w:type="dxa" w:w="100"/>
            </w:tcMar>
          </w:tcPr>
          <w:p>
            <w:pPr>
              <w:spacing w:after="0" w:before="0" w:line="252"/>
            </w:pPr>
            <w:r>
              <w:rPr>
                <w:color w:val="1F2430"/>
                <w:sz w:val="17"/>
                <w:szCs w:val="17"/>
              </w:rPr>
              <w:t xml:space="preserve">Where the containers run</w:t>
            </w:r>
          </w:p>
        </w:tc>
        <w:tc>
          <w:tcPr>
            <w:tcW w:type="dxa" w:w="1244"/>
            <w:tcMar>
              <w:top w:type="dxa" w:w="70"/>
              <w:left w:type="dxa" w:w="100"/>
              <w:bottom w:type="dxa" w:w="70"/>
              <w:right w:type="dxa" w:w="100"/>
            </w:tcMar>
          </w:tcPr>
          <w:p>
            <w:pPr>
              <w:spacing w:after="0" w:before="0" w:line="252"/>
            </w:pPr>
            <w:r>
              <w:rPr>
                <w:color w:val="1F2430"/>
                <w:sz w:val="17"/>
                <w:szCs w:val="17"/>
              </w:rPr>
              <w:t xml:space="preserve">Drawn — Figure 7.1</w:t>
            </w:r>
          </w:p>
        </w:tc>
      </w:tr>
    </w:tbl>
    <w:p>
      <w:pPr>
        <w:spacing w:after="140" w:before="0" w:line="264"/>
      </w:pPr>
    </w:p>
    <w:p>
      <w:pPr>
        <w:spacing w:after="130" w:before="0" w:line="264"/>
      </w:pPr>
      <w:r>
        <w:rPr>
          <w:color w:val="1F2430"/>
          <w:sz w:val="20"/>
          <w:szCs w:val="20"/>
        </w:rPr>
        <w:t xml:space="preserve">All seven views are drawn at this revision. Two grains are used for the dynamic view deliberately: V-T05 is stage grain, which is independent of the container boundary rule discussed at §2.2, and V-T06 is container grain, drawn to the same database grain as V-T02 so that it inherits that question and introduces no new one.</w:t>
      </w:r>
    </w:p>
    <w:p>
      <w:r>
        <w:br w:type="page"/>
      </w:r>
    </w:p>
    <w:p>
      <w:pPr>
        <w:pStyle w:val="Heading1"/>
        <w:keepNext/>
        <w:spacing w:before="300" w:after="140" w:line="264"/>
        <w:outlineLvl w:val="0"/>
      </w:pPr>
      <w:r>
        <w:rPr>
          <w:b/>
          <w:bCs/>
          <w:color w:val="1A237E"/>
          <w:sz w:val="30"/>
          <w:szCs w:val="30"/>
        </w:rPr>
        <w:t xml:space="preserve">3. Container traceability</w:t>
      </w:r>
    </w:p>
    <w:p>
      <w:pPr>
        <w:pStyle w:val="Heading2"/>
        <w:keepNext/>
        <w:spacing w:before="260" w:after="110" w:line="264"/>
        <w:outlineLvl w:val="1"/>
      </w:pPr>
      <w:r>
        <w:rPr>
          <w:b/>
          <w:bCs/>
          <w:color w:val="1A237E"/>
          <w:sz w:val="24"/>
          <w:szCs w:val="24"/>
        </w:rPr>
        <w:t xml:space="preserve">3.1 Current container to target container</w:t>
      </w:r>
    </w:p>
    <w:p>
      <w:pPr>
        <w:spacing w:after="130" w:before="0" w:line="264"/>
      </w:pPr>
      <w:r>
        <w:rPr>
          <w:color w:val="1F2430"/>
          <w:sz w:val="20"/>
          <w:szCs w:val="20"/>
        </w:rPr>
        <w:t xml:space="preserve">This table is the spine of the whole instrument. Every row traces a current-state container to what it becomes, names the owning repository, and states which current-state finding the change addresses.</w:t>
      </w:r>
    </w:p>
    <w:p>
      <w:pPr>
        <w:sectPr>
          <w:headerReference w:type="default" r:id="rId7"/>
          <w:footerReference w:type="default" r:id="rId8"/>
          <w:pgSz w:w="12240" w:h="15840" w:orient="portrait"/>
          <w:pgMar w:top="1180" w:right="1080" w:bottom="1080" w:left="1080" w:header="620" w:footer="560" w:gutter="0"/>
          <w:pgNumType/>
          <w:docGrid w:linePitch="360"/>
        </w:sectPr>
      </w:pPr>
    </w:p>
    <w:tbl>
      <w:tblPr>
        <w:tblW w:type="dxa" w:w="13680"/>
        <w:tblBorders>
          <w:top w:val="single" w:color="9FA8DA" w:sz="4"/>
          <w:left w:val="single" w:color="9FA8DA" w:sz="4"/>
          <w:bottom w:val="single" w:color="9FA8DA" w:sz="4"/>
          <w:right w:val="single" w:color="9FA8DA" w:sz="4"/>
          <w:insideH w:val="single" w:color="C5CAE9" w:sz="2"/>
          <w:insideV w:val="single" w:color="C5CAE9" w:sz="2"/>
        </w:tblBorders>
      </w:tblPr>
      <w:tblGrid>
        <w:gridCol w:w="700"/>
        <w:gridCol w:w="2999"/>
        <w:gridCol w:w="1482"/>
        <w:gridCol w:w="2547"/>
        <w:gridCol w:w="2921"/>
        <w:gridCol w:w="3031"/>
      </w:tblGrid>
      <w:tr>
        <w:trPr>
          <w:tblHeader/>
          <w:cantSplit/>
        </w:trPr>
        <w:tc>
          <w:tcPr>
            <w:tcW w:type="dxa" w:w="700"/>
            <w:shd w:fill="1A237E" w:color="auto" w:val="clear"/>
            <w:tcMar>
              <w:top w:type="dxa" w:w="70"/>
              <w:left w:type="dxa" w:w="100"/>
              <w:bottom w:type="dxa" w:w="70"/>
              <w:right w:type="dxa" w:w="100"/>
            </w:tcMar>
            <w:vAlign w:val="center"/>
          </w:tcPr>
          <w:p>
            <w:pPr>
              <w:spacing w:after="0" w:before="0" w:line="252"/>
            </w:pPr>
            <w:r>
              <w:rPr>
                <w:b/>
                <w:bCs/>
                <w:color w:val="FFFFFF"/>
                <w:sz w:val="17"/>
                <w:szCs w:val="17"/>
              </w:rPr>
              <w:t xml:space="preserve">C4 ID</w:t>
            </w:r>
          </w:p>
        </w:tc>
        <w:tc>
          <w:tcPr>
            <w:tcW w:type="dxa" w:w="2999"/>
            <w:shd w:fill="1A237E" w:color="auto" w:val="clear"/>
            <w:tcMar>
              <w:top w:type="dxa" w:w="70"/>
              <w:left w:type="dxa" w:w="100"/>
              <w:bottom w:type="dxa" w:w="70"/>
              <w:right w:type="dxa" w:w="100"/>
            </w:tcMar>
            <w:vAlign w:val="center"/>
          </w:tcPr>
          <w:p>
            <w:pPr>
              <w:spacing w:after="0" w:before="0" w:line="252"/>
            </w:pPr>
            <w:r>
              <w:rPr>
                <w:b/>
                <w:bCs/>
                <w:color w:val="FFFFFF"/>
                <w:sz w:val="17"/>
                <w:szCs w:val="17"/>
              </w:rPr>
              <w:t xml:space="preserve">Current container</w:t>
            </w:r>
          </w:p>
        </w:tc>
        <w:tc>
          <w:tcPr>
            <w:tcW w:type="dxa" w:w="1482"/>
            <w:shd w:fill="1A237E" w:color="auto" w:val="clear"/>
            <w:tcMar>
              <w:top w:type="dxa" w:w="70"/>
              <w:left w:type="dxa" w:w="100"/>
              <w:bottom w:type="dxa" w:w="70"/>
              <w:right w:type="dxa" w:w="100"/>
            </w:tcMar>
            <w:vAlign w:val="center"/>
          </w:tcPr>
          <w:p>
            <w:pPr>
              <w:spacing w:after="0" w:before="0" w:line="252"/>
            </w:pPr>
            <w:r>
              <w:rPr>
                <w:b/>
                <w:bCs/>
                <w:color w:val="FFFFFF"/>
                <w:sz w:val="17"/>
                <w:szCs w:val="17"/>
              </w:rPr>
              <w:t xml:space="preserve">Target container</w:t>
            </w:r>
          </w:p>
        </w:tc>
        <w:tc>
          <w:tcPr>
            <w:tcW w:type="dxa" w:w="2547"/>
            <w:shd w:fill="1A237E" w:color="auto" w:val="clear"/>
            <w:tcMar>
              <w:top w:type="dxa" w:w="70"/>
              <w:left w:type="dxa" w:w="100"/>
              <w:bottom w:type="dxa" w:w="70"/>
              <w:right w:type="dxa" w:w="100"/>
            </w:tcMar>
            <w:vAlign w:val="center"/>
          </w:tcPr>
          <w:p>
            <w:pPr>
              <w:spacing w:after="0" w:before="0" w:line="252"/>
            </w:pPr>
            <w:r>
              <w:rPr>
                <w:b/>
                <w:bCs/>
                <w:color w:val="FFFFFF"/>
                <w:sz w:val="17"/>
                <w:szCs w:val="17"/>
              </w:rPr>
              <w:t xml:space="preserve">Target technology</w:t>
            </w:r>
          </w:p>
        </w:tc>
        <w:tc>
          <w:tcPr>
            <w:tcW w:type="dxa" w:w="2921"/>
            <w:shd w:fill="1A237E" w:color="auto" w:val="clear"/>
            <w:tcMar>
              <w:top w:type="dxa" w:w="70"/>
              <w:left w:type="dxa" w:w="100"/>
              <w:bottom w:type="dxa" w:w="70"/>
              <w:right w:type="dxa" w:w="100"/>
            </w:tcMar>
            <w:vAlign w:val="center"/>
          </w:tcPr>
          <w:p>
            <w:pPr>
              <w:spacing w:after="0" w:before="0" w:line="252"/>
            </w:pPr>
            <w:r>
              <w:rPr>
                <w:b/>
                <w:bCs/>
                <w:color w:val="FFFFFF"/>
                <w:sz w:val="17"/>
                <w:szCs w:val="17"/>
              </w:rPr>
              <w:t xml:space="preserve">Repository</w:t>
            </w:r>
          </w:p>
        </w:tc>
        <w:tc>
          <w:tcPr>
            <w:tcW w:type="dxa" w:w="3031"/>
            <w:shd w:fill="1A237E" w:color="auto" w:val="clear"/>
            <w:tcMar>
              <w:top w:type="dxa" w:w="70"/>
              <w:left w:type="dxa" w:w="100"/>
              <w:bottom w:type="dxa" w:w="70"/>
              <w:right w:type="dxa" w:w="100"/>
            </w:tcMar>
            <w:vAlign w:val="center"/>
          </w:tcPr>
          <w:p>
            <w:pPr>
              <w:spacing w:after="0" w:before="0" w:line="252"/>
            </w:pPr>
            <w:r>
              <w:rPr>
                <w:b/>
                <w:bCs/>
                <w:color w:val="FFFFFF"/>
                <w:sz w:val="17"/>
                <w:szCs w:val="17"/>
              </w:rPr>
              <w:t xml:space="preserve">Addresses</w:t>
            </w:r>
          </w:p>
        </w:tc>
      </w:tr>
      <w:tr>
        <w:tc>
          <w:tcPr>
            <w:tcW w:type="dxa" w:w="700"/>
            <w:shd w:fill="F5F6FA" w:color="auto" w:val="clear"/>
            <w:tcMar>
              <w:top w:type="dxa" w:w="70"/>
              <w:left w:type="dxa" w:w="100"/>
              <w:bottom w:type="dxa" w:w="70"/>
              <w:right w:type="dxa" w:w="100"/>
            </w:tcMar>
          </w:tcPr>
          <w:p>
            <w:pPr>
              <w:spacing w:after="0" w:before="0" w:line="252"/>
            </w:pPr>
            <w:r>
              <w:rPr>
                <w:b/>
                <w:bCs/>
                <w:color w:val="1F2430"/>
                <w:sz w:val="17"/>
                <w:szCs w:val="17"/>
              </w:rPr>
              <w:t xml:space="preserve">CAP-C4-CON01</w:t>
            </w:r>
          </w:p>
        </w:tc>
        <w:tc>
          <w:tcPr>
            <w:tcW w:type="dxa" w:w="2999"/>
            <w:tcMar>
              <w:top w:type="dxa" w:w="70"/>
              <w:left w:type="dxa" w:w="100"/>
              <w:bottom w:type="dxa" w:w="70"/>
              <w:right w:type="dxa" w:w="100"/>
            </w:tcMar>
          </w:tcPr>
          <w:p>
            <w:pPr>
              <w:spacing w:after="0" w:before="0" w:line="252"/>
            </w:pPr>
            <w:r>
              <w:rPr>
                <w:color w:val="1F2430"/>
                <w:sz w:val="17"/>
                <w:szCs w:val="17"/>
              </w:rPr>
              <w:t xml:space="preserve">Capitation calculation chain — C#/VB.NET agents, CAP-S-03 to S-10</w:t>
            </w:r>
          </w:p>
        </w:tc>
        <w:tc>
          <w:tcPr>
            <w:tcW w:type="dxa" w:w="1482"/>
            <w:tcMar>
              <w:top w:type="dxa" w:w="70"/>
              <w:left w:type="dxa" w:w="100"/>
              <w:bottom w:type="dxa" w:w="70"/>
              <w:right w:type="dxa" w:w="100"/>
            </w:tcMar>
          </w:tcPr>
          <w:p>
            <w:pPr>
              <w:spacing w:after="0" w:before="0" w:line="252"/>
            </w:pPr>
            <w:r>
              <w:rPr>
                <w:color w:val="1F2430"/>
                <w:sz w:val="17"/>
                <w:szCs w:val="17"/>
              </w:rPr>
              <w:t xml:space="preserve">Capitation Calculation Service</w:t>
            </w:r>
          </w:p>
        </w:tc>
        <w:tc>
          <w:tcPr>
            <w:tcW w:type="dxa" w:w="2547"/>
            <w:tcMar>
              <w:top w:type="dxa" w:w="70"/>
              <w:left w:type="dxa" w:w="100"/>
              <w:bottom w:type="dxa" w:w="70"/>
              <w:right w:type="dxa" w:w="100"/>
            </w:tcMar>
          </w:tcPr>
          <w:p>
            <w:pPr>
              <w:spacing w:after="0" w:before="0" w:line="252"/>
            </w:pPr>
            <w:r>
              <w:rPr>
                <w:color w:val="1F2430"/>
                <w:sz w:val="17"/>
                <w:szCs w:val="17"/>
              </w:rPr>
              <w:t xml:space="preserve">ASP.NET Core 10, EF Core 10; seven method bodies become seven handlers</w:t>
            </w:r>
          </w:p>
        </w:tc>
        <w:tc>
          <w:tcPr>
            <w:tcW w:type="dxa" w:w="2921"/>
            <w:tcMar>
              <w:top w:type="dxa" w:w="70"/>
              <w:left w:type="dxa" w:w="100"/>
              <w:bottom w:type="dxa" w:w="70"/>
              <w:right w:type="dxa" w:w="100"/>
            </w:tcMar>
          </w:tcPr>
          <w:p>
            <w:pPr>
              <w:spacing w:after="0" w:before="0" w:line="252"/>
            </w:pPr>
            <w:r>
              <w:rPr>
                <w:rFonts w:ascii="Consolas" w:hAnsi="Consolas" w:cs="Consolas"/>
                <w:color w:val="1C3D5A"/>
                <w:sz w:val="16"/>
                <w:szCs w:val="16"/>
              </w:rPr>
              <w:t xml:space="preserve">mms-cms-cef</w:t>
            </w:r>
            <w:r>
              <w:rPr>
                <w:color w:val="1F2430"/>
                <w:sz w:val="17"/>
                <w:szCs w:val="17"/>
              </w:rPr>
              <w:t xml:space="preserve"> — unchanged</w:t>
            </w:r>
          </w:p>
        </w:tc>
        <w:tc>
          <w:tcPr>
            <w:tcW w:type="dxa" w:w="3031"/>
            <w:tcMar>
              <w:top w:type="dxa" w:w="70"/>
              <w:left w:type="dxa" w:w="100"/>
              <w:bottom w:type="dxa" w:w="70"/>
              <w:right w:type="dxa" w:w="100"/>
            </w:tcMar>
          </w:tcPr>
          <w:p>
            <w:pPr>
              <w:spacing w:after="0" w:before="0" w:line="252"/>
            </w:pPr>
            <w:r>
              <w:rPr>
                <w:color w:val="1F2430"/>
                <w:sz w:val="17"/>
                <w:szCs w:val="17"/>
              </w:rPr>
              <w:t xml:space="preserve">Partially decomposable at 1.3.4; ordering and routing were in vendor config</w:t>
            </w:r>
          </w:p>
        </w:tc>
      </w:tr>
      <w:tr>
        <w:tc>
          <w:tcPr>
            <w:tcW w:type="dxa" w:w="700"/>
            <w:shd w:fill="F5F6FA" w:color="auto" w:val="clear"/>
            <w:tcMar>
              <w:top w:type="dxa" w:w="70"/>
              <w:left w:type="dxa" w:w="100"/>
              <w:bottom w:type="dxa" w:w="70"/>
              <w:right w:type="dxa" w:w="100"/>
            </w:tcMar>
          </w:tcPr>
          <w:p>
            <w:pPr>
              <w:spacing w:after="0" w:before="0" w:line="252"/>
            </w:pPr>
            <w:r>
              <w:rPr>
                <w:b/>
                <w:bCs/>
                <w:color w:val="1F2430"/>
                <w:sz w:val="17"/>
                <w:szCs w:val="17"/>
              </w:rPr>
              <w:t xml:space="preserve">CAP-C4-CON02</w:t>
            </w:r>
          </w:p>
        </w:tc>
        <w:tc>
          <w:tcPr>
            <w:tcW w:type="dxa" w:w="2999"/>
            <w:tcMar>
              <w:top w:type="dxa" w:w="70"/>
              <w:left w:type="dxa" w:w="100"/>
              <w:bottom w:type="dxa" w:w="70"/>
              <w:right w:type="dxa" w:w="100"/>
            </w:tcMar>
          </w:tcPr>
          <w:p>
            <w:pPr>
              <w:spacing w:after="0" w:before="0" w:line="252"/>
            </w:pPr>
            <w:r>
              <w:rPr>
                <w:color w:val="1F2430"/>
                <w:sz w:val="17"/>
                <w:szCs w:val="17"/>
              </w:rPr>
              <w:t xml:space="preserve">QFrame host, Distribution Hub, Execution Units, MessageStore — vendor binary, no source</w:t>
            </w:r>
          </w:p>
        </w:tc>
        <w:tc>
          <w:tcPr>
            <w:tcW w:type="dxa" w:w="1482"/>
            <w:tcMar>
              <w:top w:type="dxa" w:w="70"/>
              <w:left w:type="dxa" w:w="100"/>
              <w:bottom w:type="dxa" w:w="70"/>
              <w:right w:type="dxa" w:w="100"/>
            </w:tcMar>
          </w:tcPr>
          <w:p>
            <w:pPr>
              <w:spacing w:after="0" w:before="0" w:line="252"/>
            </w:pPr>
            <w:r>
              <w:rPr>
                <w:color w:val="1F2430"/>
                <w:sz w:val="17"/>
                <w:szCs w:val="17"/>
              </w:rPr>
              <w:t xml:space="preserve">Cycle Dispatch and Event Backbone</w:t>
            </w:r>
          </w:p>
        </w:tc>
        <w:tc>
          <w:tcPr>
            <w:tcW w:type="dxa" w:w="2547"/>
            <w:tcMar>
              <w:top w:type="dxa" w:w="70"/>
              <w:left w:type="dxa" w:w="100"/>
              <w:bottom w:type="dxa" w:w="70"/>
              <w:right w:type="dxa" w:w="100"/>
            </w:tcMar>
          </w:tcPr>
          <w:p>
            <w:pPr>
              <w:spacing w:after="0" w:before="0" w:line="252"/>
            </w:pPr>
            <w:r>
              <w:rPr>
                <w:color w:val="1F2430"/>
                <w:sz w:val="17"/>
                <w:szCs w:val="17"/>
              </w:rPr>
              <w:t xml:space="preserve">Kafka 4.3 topics and consumer groups</w:t>
            </w:r>
          </w:p>
        </w:tc>
        <w:tc>
          <w:tcPr>
            <w:tcW w:type="dxa" w:w="2921"/>
            <w:tcMar>
              <w:top w:type="dxa" w:w="70"/>
              <w:left w:type="dxa" w:w="100"/>
              <w:bottom w:type="dxa" w:w="70"/>
              <w:right w:type="dxa" w:w="100"/>
            </w:tcMar>
          </w:tcPr>
          <w:p>
            <w:pPr>
              <w:spacing w:after="0" w:before="0" w:line="252"/>
            </w:pPr>
            <w:r>
              <w:rPr>
                <w:rFonts w:ascii="Consolas" w:hAnsi="Consolas" w:cs="Consolas"/>
                <w:color w:val="1C3D5A"/>
                <w:sz w:val="16"/>
                <w:szCs w:val="16"/>
              </w:rPr>
              <w:t xml:space="preserve">mms-cms-cef</w:t>
            </w:r>
            <w:r>
              <w:rPr>
                <w:color w:val="1F2430"/>
                <w:sz w:val="17"/>
                <w:szCs w:val="17"/>
              </w:rPr>
              <w:t xml:space="preserve"> — unchanged</w:t>
            </w:r>
          </w:p>
        </w:tc>
        <w:tc>
          <w:tcPr>
            <w:tcW w:type="dxa" w:w="3031"/>
            <w:tcMar>
              <w:top w:type="dxa" w:w="70"/>
              <w:left w:type="dxa" w:w="100"/>
              <w:bottom w:type="dxa" w:w="70"/>
              <w:right w:type="dxa" w:w="100"/>
            </w:tcMar>
          </w:tcPr>
          <w:p>
            <w:pPr>
              <w:spacing w:after="0" w:before="0" w:line="252"/>
            </w:pPr>
            <w:r>
              <w:rPr>
                <w:color w:val="1F2430"/>
                <w:sz w:val="17"/>
                <w:szCs w:val="17"/>
              </w:rPr>
              <w:t xml:space="preserve">NOT DECOMPOSED at 1.3.4; dispatch semantics invisible; emitted SQL exists nowhere as text</w:t>
            </w:r>
          </w:p>
        </w:tc>
      </w:tr>
      <w:tr>
        <w:tc>
          <w:tcPr>
            <w:tcW w:type="dxa" w:w="700"/>
            <w:shd w:fill="F5F6FA" w:color="auto" w:val="clear"/>
            <w:tcMar>
              <w:top w:type="dxa" w:w="70"/>
              <w:left w:type="dxa" w:w="100"/>
              <w:bottom w:type="dxa" w:w="70"/>
              <w:right w:type="dxa" w:w="100"/>
            </w:tcMar>
          </w:tcPr>
          <w:p>
            <w:pPr>
              <w:spacing w:after="0" w:before="0" w:line="252"/>
            </w:pPr>
            <w:r>
              <w:rPr>
                <w:b/>
                <w:bCs/>
                <w:color w:val="1F2430"/>
                <w:sz w:val="17"/>
                <w:szCs w:val="17"/>
              </w:rPr>
              <w:t xml:space="preserve">CAP-C4-CON03</w:t>
            </w:r>
          </w:p>
        </w:tc>
        <w:tc>
          <w:tcPr>
            <w:tcW w:type="dxa" w:w="2999"/>
            <w:tcMar>
              <w:top w:type="dxa" w:w="70"/>
              <w:left w:type="dxa" w:w="100"/>
              <w:bottom w:type="dxa" w:w="70"/>
              <w:right w:type="dxa" w:w="100"/>
            </w:tcMar>
          </w:tcPr>
          <w:p>
            <w:pPr>
              <w:spacing w:after="0" w:before="0" w:line="252"/>
            </w:pPr>
            <w:r>
              <w:rPr>
                <w:color w:val="1F2430"/>
                <w:sz w:val="17"/>
                <w:szCs w:val="17"/>
              </w:rPr>
              <w:t xml:space="preserve">Plandata_Parallel — seven write paths, four components, three repositories</w:t>
            </w:r>
          </w:p>
        </w:tc>
        <w:tc>
          <w:tcPr>
            <w:tcW w:type="dxa" w:w="1482"/>
            <w:tcMar>
              <w:top w:type="dxa" w:w="70"/>
              <w:left w:type="dxa" w:w="100"/>
              <w:bottom w:type="dxa" w:w="70"/>
              <w:right w:type="dxa" w:w="100"/>
            </w:tcMar>
          </w:tcPr>
          <w:p>
            <w:pPr>
              <w:spacing w:after="0" w:before="0" w:line="252"/>
            </w:pPr>
            <w:r>
              <w:rPr>
                <w:color w:val="1F2430"/>
                <w:sz w:val="17"/>
                <w:szCs w:val="17"/>
              </w:rPr>
              <w:t xml:space="preserve">Capitation Store</w:t>
            </w:r>
          </w:p>
        </w:tc>
        <w:tc>
          <w:tcPr>
            <w:tcW w:type="dxa" w:w="2547"/>
            <w:tcMar>
              <w:top w:type="dxa" w:w="70"/>
              <w:left w:type="dxa" w:w="100"/>
              <w:bottom w:type="dxa" w:w="70"/>
              <w:right w:type="dxa" w:w="100"/>
            </w:tcMar>
          </w:tcPr>
          <w:p>
            <w:pPr>
              <w:spacing w:after="0" w:before="0" w:line="252"/>
            </w:pPr>
            <w:r>
              <w:rPr>
                <w:color w:val="1F2430"/>
                <w:sz w:val="17"/>
                <w:szCs w:val="17"/>
              </w:rPr>
              <w:t xml:space="preserve">PostgreSQL 18, single writer, immutable payment key</w:t>
            </w:r>
          </w:p>
        </w:tc>
        <w:tc>
          <w:tcPr>
            <w:tcW w:type="dxa" w:w="2921"/>
            <w:tcMar>
              <w:top w:type="dxa" w:w="70"/>
              <w:left w:type="dxa" w:w="100"/>
              <w:bottom w:type="dxa" w:w="70"/>
              <w:right w:type="dxa" w:w="100"/>
            </w:tcMar>
          </w:tcPr>
          <w:p>
            <w:pPr>
              <w:spacing w:after="0" w:before="0" w:line="252"/>
            </w:pPr>
            <w:r>
              <w:rPr>
                <w:rFonts w:ascii="Consolas" w:hAnsi="Consolas" w:cs="Consolas"/>
                <w:color w:val="1C3D5A"/>
                <w:sz w:val="16"/>
                <w:szCs w:val="16"/>
              </w:rPr>
              <w:t xml:space="preserve">mms-cms-cef</w:t>
            </w:r>
            <w:r>
              <w:rPr>
                <w:color w:val="1F2430"/>
                <w:sz w:val="17"/>
                <w:szCs w:val="17"/>
              </w:rPr>
              <w:t xml:space="preserve"> — unchanged</w:t>
            </w:r>
          </w:p>
        </w:tc>
        <w:tc>
          <w:tcPr>
            <w:tcW w:type="dxa" w:w="3031"/>
            <w:tcMar>
              <w:top w:type="dxa" w:w="70"/>
              <w:left w:type="dxa" w:w="100"/>
              <w:bottom w:type="dxa" w:w="70"/>
              <w:right w:type="dxa" w:w="100"/>
            </w:tcMar>
          </w:tcPr>
          <w:p>
            <w:pPr>
              <w:spacing w:after="0" w:before="0" w:line="252"/>
            </w:pPr>
            <w:r>
              <w:rPr>
                <w:color w:val="1F2430"/>
                <w:sz w:val="17"/>
                <w:szCs w:val="17"/>
              </w:rPr>
              <w:t xml:space="preserve">The </w:t>
            </w:r>
            <w:r>
              <w:rPr>
                <w:rFonts w:ascii="Consolas" w:hAnsi="Consolas" w:cs="Consolas"/>
                <w:color w:val="1C3D5A"/>
                <w:sz w:val="16"/>
                <w:szCs w:val="16"/>
              </w:rPr>
              <w:t xml:space="preserve">PostCap_SplitPayments</w:t>
            </w:r>
            <w:r>
              <w:rPr>
                <w:color w:val="1F2430"/>
                <w:sz w:val="17"/>
                <w:szCs w:val="17"/>
              </w:rPr>
              <w:t xml:space="preserve"> post-hoc re-key of the primary key</w:t>
            </w:r>
          </w:p>
        </w:tc>
      </w:tr>
      <w:tr>
        <w:tc>
          <w:tcPr>
            <w:tcW w:type="dxa" w:w="700"/>
            <w:shd w:fill="F5F6FA" w:color="auto" w:val="clear"/>
            <w:tcMar>
              <w:top w:type="dxa" w:w="70"/>
              <w:left w:type="dxa" w:w="100"/>
              <w:bottom w:type="dxa" w:w="70"/>
              <w:right w:type="dxa" w:w="100"/>
            </w:tcMar>
          </w:tcPr>
          <w:p>
            <w:pPr>
              <w:spacing w:after="0" w:before="0" w:line="252"/>
            </w:pPr>
            <w:r>
              <w:rPr>
                <w:b/>
                <w:bCs/>
                <w:color w:val="1F2430"/>
                <w:sz w:val="17"/>
                <w:szCs w:val="17"/>
              </w:rPr>
              <w:t xml:space="preserve">CAP-C4-CON04</w:t>
            </w:r>
          </w:p>
        </w:tc>
        <w:tc>
          <w:tcPr>
            <w:tcW w:type="dxa" w:w="2999"/>
            <w:tcMar>
              <w:top w:type="dxa" w:w="70"/>
              <w:left w:type="dxa" w:w="100"/>
              <w:bottom w:type="dxa" w:w="70"/>
              <w:right w:type="dxa" w:w="100"/>
            </w:tcMar>
          </w:tcPr>
          <w:p>
            <w:pPr>
              <w:spacing w:after="0" w:before="0" w:line="252"/>
            </w:pPr>
            <w:r>
              <w:rPr>
                <w:color w:val="1F2430"/>
                <w:sz w:val="17"/>
                <w:szCs w:val="17"/>
              </w:rPr>
              <w:t xml:space="preserve">HealthPAS_Common — shared crosswalks and supplemental data on drive K:</w:t>
            </w:r>
          </w:p>
        </w:tc>
        <w:tc>
          <w:tcPr>
            <w:tcW w:type="dxa" w:w="1482"/>
            <w:tcMar>
              <w:top w:type="dxa" w:w="70"/>
              <w:left w:type="dxa" w:w="100"/>
              <w:bottom w:type="dxa" w:w="70"/>
              <w:right w:type="dxa" w:w="100"/>
            </w:tcMar>
          </w:tcPr>
          <w:p>
            <w:pPr>
              <w:spacing w:after="0" w:before="0" w:line="252"/>
            </w:pPr>
            <w:r>
              <w:rPr>
                <w:color w:val="1F2430"/>
                <w:sz w:val="17"/>
                <w:szCs w:val="17"/>
              </w:rPr>
              <w:t xml:space="preserve">Reference and Crosswalk Store</w:t>
            </w:r>
          </w:p>
        </w:tc>
        <w:tc>
          <w:tcPr>
            <w:tcW w:type="dxa" w:w="2547"/>
            <w:tcMar>
              <w:top w:type="dxa" w:w="70"/>
              <w:left w:type="dxa" w:w="100"/>
              <w:bottom w:type="dxa" w:w="70"/>
              <w:right w:type="dxa" w:w="100"/>
            </w:tcMar>
          </w:tcPr>
          <w:p>
            <w:pPr>
              <w:spacing w:after="0" w:before="0" w:line="252"/>
            </w:pPr>
            <w:r>
              <w:rPr>
                <w:color w:val="1F2430"/>
                <w:sz w:val="17"/>
                <w:szCs w:val="17"/>
              </w:rPr>
              <w:t xml:space="preserve">PostgreSQL 18, published as an event-sourced read model</w:t>
            </w:r>
          </w:p>
        </w:tc>
        <w:tc>
          <w:tcPr>
            <w:tcW w:type="dxa" w:w="2921"/>
            <w:tcMar>
              <w:top w:type="dxa" w:w="70"/>
              <w:left w:type="dxa" w:w="100"/>
              <w:bottom w:type="dxa" w:w="70"/>
              <w:right w:type="dxa" w:w="100"/>
            </w:tcMar>
          </w:tcPr>
          <w:p>
            <w:pPr>
              <w:spacing w:after="0" w:before="0" w:line="252"/>
            </w:pPr>
            <w:r>
              <w:rPr>
                <w:rFonts w:ascii="Consolas" w:hAnsi="Consolas" w:cs="Consolas"/>
                <w:color w:val="1C3D5A"/>
                <w:sz w:val="16"/>
                <w:szCs w:val="16"/>
              </w:rPr>
              <w:t xml:space="preserve">act-oh-OHDDI</w:t>
            </w:r>
            <w:r>
              <w:rPr>
                <w:color w:val="1F2430"/>
                <w:sz w:val="17"/>
                <w:szCs w:val="17"/>
              </w:rPr>
              <w:t xml:space="preserve"> — unchanged</w:t>
            </w:r>
          </w:p>
        </w:tc>
        <w:tc>
          <w:tcPr>
            <w:tcW w:type="dxa" w:w="3031"/>
            <w:tcMar>
              <w:top w:type="dxa" w:w="70"/>
              <w:left w:type="dxa" w:w="100"/>
              <w:bottom w:type="dxa" w:w="70"/>
              <w:right w:type="dxa" w:w="100"/>
            </w:tcMar>
          </w:tcPr>
          <w:p>
            <w:pPr>
              <w:spacing w:after="0" w:before="0" w:line="252"/>
            </w:pPr>
            <w:r>
              <w:rPr>
                <w:color w:val="1F2430"/>
                <w:sz w:val="17"/>
                <w:szCs w:val="17"/>
              </w:rPr>
              <w:t xml:space="preserve">Shared-store coupling with finance and claims</w:t>
            </w:r>
          </w:p>
        </w:tc>
      </w:tr>
      <w:tr>
        <w:tc>
          <w:tcPr>
            <w:tcW w:type="dxa" w:w="700"/>
            <w:shd w:fill="F5F6FA" w:color="auto" w:val="clear"/>
            <w:tcMar>
              <w:top w:type="dxa" w:w="70"/>
              <w:left w:type="dxa" w:w="100"/>
              <w:bottom w:type="dxa" w:w="70"/>
              <w:right w:type="dxa" w:w="100"/>
            </w:tcMar>
          </w:tcPr>
          <w:p>
            <w:pPr>
              <w:spacing w:after="0" w:before="0" w:line="252"/>
            </w:pPr>
            <w:r>
              <w:rPr>
                <w:b/>
                <w:bCs/>
                <w:color w:val="1F2430"/>
                <w:sz w:val="17"/>
                <w:szCs w:val="17"/>
              </w:rPr>
              <w:t xml:space="preserve">CAP-C4-CON05</w:t>
            </w:r>
          </w:p>
        </w:tc>
        <w:tc>
          <w:tcPr>
            <w:tcW w:type="dxa" w:w="2999"/>
            <w:tcMar>
              <w:top w:type="dxa" w:w="70"/>
              <w:left w:type="dxa" w:w="100"/>
              <w:bottom w:type="dxa" w:w="70"/>
              <w:right w:type="dxa" w:w="100"/>
            </w:tcMar>
          </w:tcPr>
          <w:p>
            <w:pPr>
              <w:spacing w:after="0" w:before="0" w:line="252"/>
            </w:pPr>
            <w:r>
              <w:rPr>
                <w:color w:val="1F2430"/>
                <w:sz w:val="17"/>
                <w:szCs w:val="17"/>
              </w:rPr>
              <w:t xml:space="preserve">ETLStageDB rate staging — truncated and rebuilt each cycle</w:t>
            </w:r>
          </w:p>
        </w:tc>
        <w:tc>
          <w:tcPr>
            <w:tcW w:type="dxa" w:w="1482"/>
            <w:tcMar>
              <w:top w:type="dxa" w:w="70"/>
              <w:left w:type="dxa" w:w="100"/>
              <w:bottom w:type="dxa" w:w="70"/>
              <w:right w:type="dxa" w:w="100"/>
            </w:tcMar>
          </w:tcPr>
          <w:p>
            <w:pPr>
              <w:spacing w:after="0" w:before="0" w:line="252"/>
            </w:pPr>
            <w:r>
              <w:rPr>
                <w:color w:val="1F2430"/>
                <w:sz w:val="17"/>
                <w:szCs w:val="17"/>
              </w:rPr>
              <w:t xml:space="preserve">Rate Snapshot Store</w:t>
            </w:r>
          </w:p>
        </w:tc>
        <w:tc>
          <w:tcPr>
            <w:tcW w:type="dxa" w:w="2547"/>
            <w:tcMar>
              <w:top w:type="dxa" w:w="70"/>
              <w:left w:type="dxa" w:w="100"/>
              <w:bottom w:type="dxa" w:w="70"/>
              <w:right w:type="dxa" w:w="100"/>
            </w:tcMar>
          </w:tcPr>
          <w:p>
            <w:pPr>
              <w:spacing w:after="0" w:before="0" w:line="252"/>
            </w:pPr>
            <w:r>
              <w:rPr>
                <w:color w:val="1F2430"/>
                <w:sz w:val="17"/>
                <w:szCs w:val="17"/>
              </w:rPr>
              <w:t xml:space="preserve">PostgreSQL 18, effdate / termdate versioned snapshots</w:t>
            </w:r>
          </w:p>
        </w:tc>
        <w:tc>
          <w:tcPr>
            <w:tcW w:type="dxa" w:w="2921"/>
            <w:tcMar>
              <w:top w:type="dxa" w:w="70"/>
              <w:left w:type="dxa" w:w="100"/>
              <w:bottom w:type="dxa" w:w="70"/>
              <w:right w:type="dxa" w:w="100"/>
            </w:tcMar>
          </w:tcPr>
          <w:p>
            <w:pPr>
              <w:spacing w:after="0" w:before="0" w:line="252"/>
            </w:pPr>
            <w:r>
              <w:rPr>
                <w:color w:val="1F2430"/>
                <w:sz w:val="17"/>
                <w:szCs w:val="17"/>
              </w:rPr>
              <w:t xml:space="preserve">Fed by the MEMIM00065 / MEMSW00013 SSIS families — </w:t>
            </w:r>
            <w:r>
              <w:rPr>
                <w:b/>
                <w:bCs/>
                <w:color w:val="1F2430"/>
                <w:sz w:val="17"/>
                <w:szCs w:val="17"/>
              </w:rPr>
              <w:t xml:space="preserve">owning repository NOT ESTABLISHED</w:t>
            </w:r>
          </w:p>
        </w:tc>
        <w:tc>
          <w:tcPr>
            <w:tcW w:type="dxa" w:w="3031"/>
            <w:tcMar>
              <w:top w:type="dxa" w:w="70"/>
              <w:left w:type="dxa" w:w="100"/>
              <w:bottom w:type="dxa" w:w="70"/>
              <w:right w:type="dxa" w:w="100"/>
            </w:tcMar>
          </w:tcPr>
          <w:p>
            <w:pPr>
              <w:spacing w:after="0" w:before="0" w:line="252"/>
            </w:pPr>
            <w:r>
              <w:rPr>
                <w:color w:val="1F2430"/>
                <w:sz w:val="17"/>
                <w:szCs w:val="17"/>
              </w:rPr>
              <w:t xml:space="preserve">The destructive reload that loses the prior snapshot</w:t>
            </w:r>
          </w:p>
        </w:tc>
      </w:tr>
      <w:tr>
        <w:tc>
          <w:tcPr>
            <w:tcW w:type="dxa" w:w="700"/>
            <w:shd w:fill="F5F6FA" w:color="auto" w:val="clear"/>
            <w:tcMar>
              <w:top w:type="dxa" w:w="70"/>
              <w:left w:type="dxa" w:w="100"/>
              <w:bottom w:type="dxa" w:w="70"/>
              <w:right w:type="dxa" w:w="100"/>
            </w:tcMar>
          </w:tcPr>
          <w:p>
            <w:pPr>
              <w:spacing w:after="0" w:before="0" w:line="252"/>
            </w:pPr>
            <w:r>
              <w:rPr>
                <w:b/>
                <w:bCs/>
                <w:color w:val="1F2430"/>
                <w:sz w:val="17"/>
                <w:szCs w:val="17"/>
              </w:rPr>
              <w:t xml:space="preserve">CAP-C4-CON06</w:t>
            </w:r>
          </w:p>
        </w:tc>
        <w:tc>
          <w:tcPr>
            <w:tcW w:type="dxa" w:w="2999"/>
            <w:tcMar>
              <w:top w:type="dxa" w:w="70"/>
              <w:left w:type="dxa" w:w="100"/>
              <w:bottom w:type="dxa" w:w="70"/>
              <w:right w:type="dxa" w:w="100"/>
            </w:tcMar>
          </w:tcPr>
          <w:p>
            <w:pPr>
              <w:spacing w:after="0" w:before="0" w:line="252"/>
            </w:pPr>
            <w:r>
              <w:rPr>
                <w:color w:val="1F2430"/>
                <w:sz w:val="17"/>
                <w:szCs w:val="17"/>
              </w:rPr>
              <w:t xml:space="preserve">PostCap procedure suite — Ohio T-SQL, CAP-S-11</w:t>
            </w:r>
          </w:p>
        </w:tc>
        <w:tc>
          <w:tcPr>
            <w:tcW w:type="dxa" w:w="1482"/>
            <w:tcMar>
              <w:top w:type="dxa" w:w="70"/>
              <w:left w:type="dxa" w:w="100"/>
              <w:bottom w:type="dxa" w:w="70"/>
              <w:right w:type="dxa" w:w="100"/>
            </w:tcMar>
          </w:tcPr>
          <w:p>
            <w:pPr>
              <w:spacing w:after="0" w:before="0" w:line="252"/>
            </w:pPr>
            <w:r>
              <w:rPr>
                <w:color w:val="1F2430"/>
                <w:sz w:val="17"/>
                <w:szCs w:val="17"/>
              </w:rPr>
              <w:t xml:space="preserve">Post-Capitation Adjustment Service</w:t>
            </w:r>
          </w:p>
        </w:tc>
        <w:tc>
          <w:tcPr>
            <w:tcW w:type="dxa" w:w="2547"/>
            <w:tcMar>
              <w:top w:type="dxa" w:w="70"/>
              <w:left w:type="dxa" w:w="100"/>
              <w:bottom w:type="dxa" w:w="70"/>
              <w:right w:type="dxa" w:w="100"/>
            </w:tcMar>
          </w:tcPr>
          <w:p>
            <w:pPr>
              <w:spacing w:after="0" w:before="0" w:line="252"/>
            </w:pPr>
            <w:r>
              <w:rPr>
                <w:color w:val="1F2430"/>
                <w:sz w:val="17"/>
                <w:szCs w:val="17"/>
              </w:rPr>
              <w:t xml:space="preserve">.NET 10 domain code; logic lifted out of the database</w:t>
            </w:r>
          </w:p>
        </w:tc>
        <w:tc>
          <w:tcPr>
            <w:tcW w:type="dxa" w:w="2921"/>
            <w:tcMar>
              <w:top w:type="dxa" w:w="70"/>
              <w:left w:type="dxa" w:w="100"/>
              <w:bottom w:type="dxa" w:w="70"/>
              <w:right w:type="dxa" w:w="100"/>
            </w:tcMar>
          </w:tcPr>
          <w:p>
            <w:pPr>
              <w:spacing w:after="0" w:before="0" w:line="252"/>
            </w:pPr>
            <w:r>
              <w:rPr>
                <w:rFonts w:ascii="Consolas" w:hAnsi="Consolas" w:cs="Consolas"/>
                <w:color w:val="1C3D5A"/>
                <w:sz w:val="16"/>
                <w:szCs w:val="16"/>
              </w:rPr>
              <w:t xml:space="preserve">act-oh-OHDDI</w:t>
            </w:r>
            <w:r>
              <w:rPr>
                <w:color w:val="1F2430"/>
                <w:sz w:val="17"/>
                <w:szCs w:val="17"/>
              </w:rPr>
              <w:t xml:space="preserve"> → </w:t>
            </w:r>
            <w:r>
              <w:rPr>
                <w:rFonts w:ascii="Consolas" w:hAnsi="Consolas" w:cs="Consolas"/>
                <w:color w:val="1C3D5A"/>
                <w:sz w:val="16"/>
                <w:szCs w:val="16"/>
              </w:rPr>
              <w:t xml:space="preserve">mms-cms-cef</w:t>
            </w:r>
            <w:r>
              <w:rPr>
                <w:color w:val="1F2430"/>
                <w:sz w:val="17"/>
                <w:szCs w:val="17"/>
              </w:rPr>
              <w:t xml:space="preserve"> — </w:t>
            </w:r>
            <w:r>
              <w:rPr>
                <w:b/>
                <w:bCs/>
                <w:color w:val="1F2430"/>
                <w:sz w:val="17"/>
                <w:szCs w:val="17"/>
              </w:rPr>
              <w:t xml:space="preserve">the one ownership move</w:t>
            </w:r>
          </w:p>
        </w:tc>
        <w:tc>
          <w:tcPr>
            <w:tcW w:type="dxa" w:w="3031"/>
            <w:tcMar>
              <w:top w:type="dxa" w:w="70"/>
              <w:left w:type="dxa" w:w="100"/>
              <w:bottom w:type="dxa" w:w="70"/>
              <w:right w:type="dxa" w:w="100"/>
            </w:tcMar>
          </w:tcPr>
          <w:p>
            <w:pPr>
              <w:spacing w:after="0" w:before="0" w:line="252"/>
            </w:pPr>
            <w:r>
              <w:rPr>
                <w:rFonts w:ascii="Consolas" w:hAnsi="Consolas" w:cs="Consolas"/>
                <w:color w:val="1C3D5A"/>
                <w:sz w:val="16"/>
                <w:szCs w:val="16"/>
              </w:rPr>
              <w:t xml:space="preserve">PreFundAllocate</w:t>
            </w:r>
            <w:r>
              <w:rPr>
                <w:color w:val="1F2430"/>
                <w:sz w:val="17"/>
                <w:szCs w:val="17"/>
              </w:rPr>
              <w:t xml:space="preserve"> spanning two databases in one procedure</w:t>
            </w:r>
          </w:p>
        </w:tc>
      </w:tr>
      <w:tr>
        <w:tc>
          <w:tcPr>
            <w:tcW w:type="dxa" w:w="700"/>
            <w:shd w:fill="F5F6FA" w:color="auto" w:val="clear"/>
            <w:tcMar>
              <w:top w:type="dxa" w:w="70"/>
              <w:left w:type="dxa" w:w="100"/>
              <w:bottom w:type="dxa" w:w="70"/>
              <w:right w:type="dxa" w:w="100"/>
            </w:tcMar>
          </w:tcPr>
          <w:p>
            <w:pPr>
              <w:spacing w:after="0" w:before="0" w:line="252"/>
            </w:pPr>
            <w:r>
              <w:rPr>
                <w:b/>
                <w:bCs/>
                <w:color w:val="1F2430"/>
                <w:sz w:val="17"/>
                <w:szCs w:val="17"/>
              </w:rPr>
              <w:t xml:space="preserve">CAP-C4-CON07</w:t>
            </w:r>
          </w:p>
        </w:tc>
        <w:tc>
          <w:tcPr>
            <w:tcW w:type="dxa" w:w="2999"/>
            <w:tcMar>
              <w:top w:type="dxa" w:w="70"/>
              <w:left w:type="dxa" w:w="100"/>
              <w:bottom w:type="dxa" w:w="70"/>
              <w:right w:type="dxa" w:w="100"/>
            </w:tcMar>
          </w:tcPr>
          <w:p>
            <w:pPr>
              <w:spacing w:after="0" w:before="0" w:line="252"/>
            </w:pPr>
            <w:r>
              <w:rPr>
                <w:color w:val="1F2430"/>
                <w:sz w:val="17"/>
                <w:szCs w:val="17"/>
              </w:rPr>
              <w:t xml:space="preserve">Finance pipeline — hpfin SSIS packages carrying capitation and claims together</w:t>
            </w:r>
          </w:p>
        </w:tc>
        <w:tc>
          <w:tcPr>
            <w:tcW w:type="dxa" w:w="1482"/>
            <w:tcMar>
              <w:top w:type="dxa" w:w="70"/>
              <w:left w:type="dxa" w:w="100"/>
              <w:bottom w:type="dxa" w:w="70"/>
              <w:right w:type="dxa" w:w="100"/>
            </w:tcMar>
          </w:tcPr>
          <w:p>
            <w:pPr>
              <w:spacing w:after="0" w:before="0" w:line="252"/>
            </w:pPr>
            <w:r>
              <w:rPr>
                <w:color w:val="1F2430"/>
                <w:sz w:val="17"/>
                <w:szCs w:val="17"/>
              </w:rPr>
              <w:t xml:space="preserve">Finance Settlement Service</w:t>
            </w:r>
          </w:p>
        </w:tc>
        <w:tc>
          <w:tcPr>
            <w:tcW w:type="dxa" w:w="2547"/>
            <w:tcMar>
              <w:top w:type="dxa" w:w="70"/>
              <w:left w:type="dxa" w:w="100"/>
              <w:bottom w:type="dxa" w:w="70"/>
              <w:right w:type="dxa" w:w="100"/>
            </w:tcMar>
          </w:tcPr>
          <w:p>
            <w:pPr>
              <w:spacing w:after="0" w:before="0" w:line="252"/>
            </w:pPr>
            <w:r>
              <w:rPr>
                <w:color w:val="1F2430"/>
                <w:sz w:val="17"/>
                <w:szCs w:val="17"/>
              </w:rPr>
              <w:t xml:space="preserve">.NET 10 with Kafka consumers, CAP-S-12/13</w:t>
            </w:r>
          </w:p>
        </w:tc>
        <w:tc>
          <w:tcPr>
            <w:tcW w:type="dxa" w:w="2921"/>
            <w:tcMar>
              <w:top w:type="dxa" w:w="70"/>
              <w:left w:type="dxa" w:w="100"/>
              <w:bottom w:type="dxa" w:w="70"/>
              <w:right w:type="dxa" w:w="100"/>
            </w:tcMar>
          </w:tcPr>
          <w:p>
            <w:pPr>
              <w:spacing w:after="0" w:before="0" w:line="252"/>
            </w:pPr>
            <w:r>
              <w:rPr>
                <w:rFonts w:ascii="Consolas" w:hAnsi="Consolas" w:cs="Consolas"/>
                <w:color w:val="1C3D5A"/>
                <w:sz w:val="16"/>
                <w:szCs w:val="16"/>
              </w:rPr>
              <w:t xml:space="preserve">mms-bolton-fin-ohio</w:t>
            </w:r>
            <w:r>
              <w:rPr>
                <w:color w:val="1F2430"/>
                <w:sz w:val="17"/>
                <w:szCs w:val="17"/>
              </w:rPr>
              <w:t xml:space="preserve"> — unchanged</w:t>
            </w:r>
          </w:p>
        </w:tc>
        <w:tc>
          <w:tcPr>
            <w:tcW w:type="dxa" w:w="3031"/>
            <w:tcMar>
              <w:top w:type="dxa" w:w="70"/>
              <w:left w:type="dxa" w:w="100"/>
              <w:bottom w:type="dxa" w:w="70"/>
              <w:right w:type="dxa" w:w="100"/>
            </w:tcMar>
          </w:tcPr>
          <w:p>
            <w:pPr>
              <w:spacing w:after="0" w:before="0" w:line="252"/>
            </w:pPr>
            <w:r>
              <w:rPr>
                <w:color w:val="1F2430"/>
                <w:sz w:val="17"/>
                <w:szCs w:val="17"/>
              </w:rPr>
              <w:t xml:space="preserve">Forked shared artefact; capitation could not be separated from claims</w:t>
            </w:r>
          </w:p>
        </w:tc>
      </w:tr>
      <w:tr>
        <w:tc>
          <w:tcPr>
            <w:tcW w:type="dxa" w:w="700"/>
            <w:shd w:fill="F5F6FA" w:color="auto" w:val="clear"/>
            <w:tcMar>
              <w:top w:type="dxa" w:w="70"/>
              <w:left w:type="dxa" w:w="100"/>
              <w:bottom w:type="dxa" w:w="70"/>
              <w:right w:type="dxa" w:w="100"/>
            </w:tcMar>
          </w:tcPr>
          <w:p>
            <w:pPr>
              <w:spacing w:after="0" w:before="0" w:line="252"/>
            </w:pPr>
            <w:r>
              <w:rPr>
                <w:b/>
                <w:bCs/>
                <w:color w:val="1F2430"/>
                <w:sz w:val="17"/>
                <w:szCs w:val="17"/>
              </w:rPr>
              <w:t xml:space="preserve">CAP-C4-CON08</w:t>
            </w:r>
          </w:p>
        </w:tc>
        <w:tc>
          <w:tcPr>
            <w:tcW w:type="dxa" w:w="2999"/>
            <w:tcMar>
              <w:top w:type="dxa" w:w="70"/>
              <w:left w:type="dxa" w:w="100"/>
              <w:bottom w:type="dxa" w:w="70"/>
              <w:right w:type="dxa" w:w="100"/>
            </w:tcMar>
          </w:tcPr>
          <w:p>
            <w:pPr>
              <w:spacing w:after="0" w:before="0" w:line="252"/>
            </w:pPr>
            <w:r>
              <w:rPr>
                <w:color w:val="1F2430"/>
                <w:sz w:val="17"/>
                <w:szCs w:val="17"/>
              </w:rPr>
              <w:t xml:space="preserve">Flexi general ledger — third-party engine, DDL absent</w:t>
            </w:r>
          </w:p>
        </w:tc>
        <w:tc>
          <w:tcPr>
            <w:tcW w:type="dxa" w:w="1482"/>
            <w:tcMar>
              <w:top w:type="dxa" w:w="70"/>
              <w:left w:type="dxa" w:w="100"/>
              <w:bottom w:type="dxa" w:w="70"/>
              <w:right w:type="dxa" w:w="100"/>
            </w:tcMar>
          </w:tcPr>
          <w:p>
            <w:pPr>
              <w:spacing w:after="0" w:before="0" w:line="252"/>
            </w:pPr>
            <w:r>
              <w:rPr>
                <w:color w:val="1F2430"/>
                <w:sz w:val="17"/>
                <w:szCs w:val="17"/>
              </w:rPr>
              <w:t xml:space="preserve">Flexi GL Integration</w:t>
            </w:r>
          </w:p>
        </w:tc>
        <w:tc>
          <w:tcPr>
            <w:tcW w:type="dxa" w:w="2547"/>
            <w:tcMar>
              <w:top w:type="dxa" w:w="70"/>
              <w:left w:type="dxa" w:w="100"/>
              <w:bottom w:type="dxa" w:w="70"/>
              <w:right w:type="dxa" w:w="100"/>
            </w:tcMar>
          </w:tcPr>
          <w:p>
            <w:pPr>
              <w:spacing w:after="0" w:before="0" w:line="252"/>
            </w:pPr>
            <w:r>
              <w:rPr>
                <w:color w:val="1F2430"/>
                <w:sz w:val="17"/>
                <w:szCs w:val="17"/>
              </w:rPr>
              <w:t xml:space="preserve">Third-party engine </w:t>
            </w:r>
            <w:r>
              <w:rPr>
                <w:b/>
                <w:bCs/>
                <w:color w:val="1F2430"/>
                <w:sz w:val="17"/>
                <w:szCs w:val="17"/>
              </w:rPr>
              <w:t xml:space="preserve">retained</w:t>
            </w:r>
            <w:r>
              <w:rPr>
                <w:color w:val="1F2430"/>
                <w:sz w:val="17"/>
                <w:szCs w:val="17"/>
              </w:rPr>
              <w:t xml:space="preserve">, reached by API contract</w:t>
            </w:r>
          </w:p>
        </w:tc>
        <w:tc>
          <w:tcPr>
            <w:tcW w:type="dxa" w:w="2921"/>
            <w:tcMar>
              <w:top w:type="dxa" w:w="70"/>
              <w:left w:type="dxa" w:w="100"/>
              <w:bottom w:type="dxa" w:w="70"/>
              <w:right w:type="dxa" w:w="100"/>
            </w:tcMar>
          </w:tcPr>
          <w:p>
            <w:pPr>
              <w:spacing w:after="0" w:before="0" w:line="252"/>
            </w:pPr>
            <w:r>
              <w:rPr>
                <w:rFonts w:ascii="Consolas" w:hAnsi="Consolas" w:cs="Consolas"/>
                <w:color w:val="1C3D5A"/>
                <w:sz w:val="16"/>
                <w:szCs w:val="16"/>
              </w:rPr>
              <w:t xml:space="preserve">mms-bolton-fin-ohio</w:t>
            </w:r>
            <w:r>
              <w:rPr>
                <w:color w:val="1F2430"/>
                <w:sz w:val="17"/>
                <w:szCs w:val="17"/>
              </w:rPr>
              <w:t xml:space="preserve"> — unchanged</w:t>
            </w:r>
          </w:p>
        </w:tc>
        <w:tc>
          <w:tcPr>
            <w:tcW w:type="dxa" w:w="3031"/>
            <w:tcMar>
              <w:top w:type="dxa" w:w="70"/>
              <w:left w:type="dxa" w:w="100"/>
              <w:bottom w:type="dxa" w:w="70"/>
              <w:right w:type="dxa" w:w="100"/>
            </w:tcMar>
          </w:tcPr>
          <w:p>
            <w:pPr>
              <w:spacing w:after="0" w:before="0" w:line="252"/>
            </w:pPr>
            <w:r>
              <w:rPr>
                <w:color w:val="1F2430"/>
                <w:sz w:val="17"/>
                <w:szCs w:val="17"/>
              </w:rPr>
              <w:t xml:space="preserve">The cross-database write into TIVH / TIVD / APBH / PIPQ</w:t>
            </w:r>
          </w:p>
        </w:tc>
      </w:tr>
      <w:tr>
        <w:tc>
          <w:tcPr>
            <w:tcW w:type="dxa" w:w="700"/>
            <w:shd w:fill="F5F6FA" w:color="auto" w:val="clear"/>
            <w:tcMar>
              <w:top w:type="dxa" w:w="70"/>
              <w:left w:type="dxa" w:w="100"/>
              <w:bottom w:type="dxa" w:w="70"/>
              <w:right w:type="dxa" w:w="100"/>
            </w:tcMar>
          </w:tcPr>
          <w:p>
            <w:pPr>
              <w:spacing w:after="0" w:before="0" w:line="252"/>
            </w:pPr>
            <w:r>
              <w:rPr>
                <w:b/>
                <w:bCs/>
                <w:color w:val="1F2430"/>
                <w:sz w:val="17"/>
                <w:szCs w:val="17"/>
              </w:rPr>
              <w:t xml:space="preserve">CAP-C4-CON09</w:t>
            </w:r>
          </w:p>
        </w:tc>
        <w:tc>
          <w:tcPr>
            <w:tcW w:type="dxa" w:w="2999"/>
            <w:tcMar>
              <w:top w:type="dxa" w:w="70"/>
              <w:left w:type="dxa" w:w="100"/>
              <w:bottom w:type="dxa" w:w="70"/>
              <w:right w:type="dxa" w:w="100"/>
            </w:tcMar>
          </w:tcPr>
          <w:p>
            <w:pPr>
              <w:spacing w:after="0" w:before="0" w:line="252"/>
            </w:pPr>
            <w:r>
              <w:rPr>
                <w:color w:val="1F2430"/>
                <w:sz w:val="17"/>
                <w:szCs w:val="17"/>
              </w:rPr>
              <w:t xml:space="preserve">EDI 820 egress — Edifecs plus Ohio post-process, CAP-S-14</w:t>
            </w:r>
          </w:p>
        </w:tc>
        <w:tc>
          <w:tcPr>
            <w:tcW w:type="dxa" w:w="1482"/>
            <w:tcMar>
              <w:top w:type="dxa" w:w="70"/>
              <w:left w:type="dxa" w:w="100"/>
              <w:bottom w:type="dxa" w:w="70"/>
              <w:right w:type="dxa" w:w="100"/>
            </w:tcMar>
          </w:tcPr>
          <w:p>
            <w:pPr>
              <w:spacing w:after="0" w:before="0" w:line="252"/>
            </w:pPr>
            <w:r>
              <w:rPr>
                <w:color w:val="1F2430"/>
                <w:sz w:val="17"/>
                <w:szCs w:val="17"/>
              </w:rPr>
              <w:t xml:space="preserve">EDI 820 Egress Service</w:t>
            </w:r>
          </w:p>
        </w:tc>
        <w:tc>
          <w:tcPr>
            <w:tcW w:type="dxa" w:w="2547"/>
            <w:tcMar>
              <w:top w:type="dxa" w:w="70"/>
              <w:left w:type="dxa" w:w="100"/>
              <w:bottom w:type="dxa" w:w="70"/>
              <w:right w:type="dxa" w:w="100"/>
            </w:tcMar>
          </w:tcPr>
          <w:p>
            <w:pPr>
              <w:spacing w:after="0" w:before="0" w:line="252"/>
            </w:pPr>
            <w:r>
              <w:rPr>
                <w:color w:val="1F2430"/>
                <w:sz w:val="17"/>
                <w:szCs w:val="17"/>
              </w:rPr>
              <w:t xml:space="preserve">.NET 10; Edifecs XEngine </w:t>
            </w:r>
            <w:r>
              <w:rPr>
                <w:b/>
                <w:bCs/>
                <w:color w:val="1F2430"/>
                <w:sz w:val="17"/>
                <w:szCs w:val="17"/>
              </w:rPr>
              <w:t xml:space="preserve">retained</w:t>
            </w:r>
          </w:p>
        </w:tc>
        <w:tc>
          <w:tcPr>
            <w:tcW w:type="dxa" w:w="2921"/>
            <w:tcMar>
              <w:top w:type="dxa" w:w="70"/>
              <w:left w:type="dxa" w:w="100"/>
              <w:bottom w:type="dxa" w:w="70"/>
              <w:right w:type="dxa" w:w="100"/>
            </w:tcMar>
          </w:tcPr>
          <w:p>
            <w:pPr>
              <w:spacing w:after="0" w:before="0" w:line="252"/>
            </w:pPr>
            <w:r>
              <w:rPr>
                <w:rFonts w:ascii="Consolas" w:hAnsi="Consolas" w:cs="Consolas"/>
                <w:color w:val="1C3D5A"/>
                <w:sz w:val="16"/>
                <w:szCs w:val="16"/>
              </w:rPr>
              <w:t xml:space="preserve">sis-inx-edigw</w:t>
            </w:r>
            <w:r>
              <w:rPr>
                <w:color w:val="1F2430"/>
                <w:sz w:val="17"/>
                <w:szCs w:val="17"/>
              </w:rPr>
              <w:t xml:space="preserve"> — unchanged</w:t>
            </w:r>
          </w:p>
        </w:tc>
        <w:tc>
          <w:tcPr>
            <w:tcW w:type="dxa" w:w="3031"/>
            <w:tcMar>
              <w:top w:type="dxa" w:w="70"/>
              <w:left w:type="dxa" w:w="100"/>
              <w:bottom w:type="dxa" w:w="70"/>
              <w:right w:type="dxa" w:w="100"/>
            </w:tcMar>
          </w:tcPr>
          <w:p>
            <w:pPr>
              <w:spacing w:after="0" w:before="0" w:line="252"/>
            </w:pPr>
            <w:r>
              <w:rPr>
                <w:color w:val="1F2430"/>
                <w:sz w:val="17"/>
                <w:szCs w:val="17"/>
              </w:rPr>
              <w:t xml:space="preserve">Post-process reaching back into capvoucher after export</w:t>
            </w:r>
          </w:p>
        </w:tc>
      </w:tr>
      <w:tr>
        <w:tc>
          <w:tcPr>
            <w:tcW w:type="dxa" w:w="700"/>
            <w:shd w:fill="F5F6FA" w:color="auto" w:val="clear"/>
            <w:tcMar>
              <w:top w:type="dxa" w:w="70"/>
              <w:left w:type="dxa" w:w="100"/>
              <w:bottom w:type="dxa" w:w="70"/>
              <w:right w:type="dxa" w:w="100"/>
            </w:tcMar>
          </w:tcPr>
          <w:p>
            <w:pPr>
              <w:spacing w:after="0" w:before="0" w:line="252"/>
            </w:pPr>
            <w:r>
              <w:rPr>
                <w:b/>
                <w:bCs/>
                <w:color w:val="1F2430"/>
                <w:sz w:val="17"/>
                <w:szCs w:val="17"/>
              </w:rPr>
              <w:t xml:space="preserve">CAP-C4-CON10</w:t>
            </w:r>
          </w:p>
        </w:tc>
        <w:tc>
          <w:tcPr>
            <w:tcW w:type="dxa" w:w="2999"/>
            <w:tcMar>
              <w:top w:type="dxa" w:w="70"/>
              <w:left w:type="dxa" w:w="100"/>
              <w:bottom w:type="dxa" w:w="70"/>
              <w:right w:type="dxa" w:w="100"/>
            </w:tcMar>
          </w:tcPr>
          <w:p>
            <w:pPr>
              <w:spacing w:after="0" w:before="0" w:line="252"/>
            </w:pPr>
            <w:r>
              <w:rPr>
                <w:color w:val="1F2430"/>
                <w:sz w:val="17"/>
                <w:szCs w:val="17"/>
              </w:rPr>
              <w:t xml:space="preserve">QCSIDB IDSequence — 101 call sites across 27 files</w:t>
            </w:r>
          </w:p>
        </w:tc>
        <w:tc>
          <w:tcPr>
            <w:tcW w:type="dxa" w:w="1482"/>
            <w:tcMar>
              <w:top w:type="dxa" w:w="70"/>
              <w:left w:type="dxa" w:w="100"/>
              <w:bottom w:type="dxa" w:w="70"/>
              <w:right w:type="dxa" w:w="100"/>
            </w:tcMar>
          </w:tcPr>
          <w:p>
            <w:pPr>
              <w:spacing w:after="0" w:before="0" w:line="252"/>
            </w:pPr>
            <w:r>
              <w:rPr>
                <w:color w:val="1F2430"/>
                <w:sz w:val="17"/>
                <w:szCs w:val="17"/>
              </w:rPr>
              <w:t xml:space="preserve">Identifier Service</w:t>
            </w:r>
          </w:p>
        </w:tc>
        <w:tc>
          <w:tcPr>
            <w:tcW w:type="dxa" w:w="2547"/>
            <w:tcMar>
              <w:top w:type="dxa" w:w="70"/>
              <w:left w:type="dxa" w:w="100"/>
              <w:bottom w:type="dxa" w:w="70"/>
              <w:right w:type="dxa" w:w="100"/>
            </w:tcMar>
          </w:tcPr>
          <w:p>
            <w:pPr>
              <w:spacing w:after="0" w:before="0" w:line="252"/>
            </w:pPr>
            <w:r>
              <w:rPr>
                <w:color w:val="1F2430"/>
                <w:sz w:val="17"/>
                <w:szCs w:val="17"/>
              </w:rPr>
              <w:t xml:space="preserve">PostgreSQL sequences behind an API; no page-lock escalation</w:t>
            </w:r>
          </w:p>
        </w:tc>
        <w:tc>
          <w:tcPr>
            <w:tcW w:type="dxa" w:w="2921"/>
            <w:tcMar>
              <w:top w:type="dxa" w:w="70"/>
              <w:left w:type="dxa" w:w="100"/>
              <w:bottom w:type="dxa" w:w="70"/>
              <w:right w:type="dxa" w:w="100"/>
            </w:tcMar>
          </w:tcPr>
          <w:p>
            <w:pPr>
              <w:spacing w:after="0" w:before="0" w:line="252"/>
            </w:pPr>
            <w:r>
              <w:rPr>
                <w:rFonts w:ascii="Consolas" w:hAnsi="Consolas" w:cs="Consolas"/>
                <w:color w:val="1C3D5A"/>
                <w:sz w:val="16"/>
                <w:szCs w:val="16"/>
              </w:rPr>
              <w:t xml:space="preserve">mms-cms-cef</w:t>
            </w:r>
            <w:r>
              <w:rPr>
                <w:color w:val="1F2430"/>
                <w:sz w:val="17"/>
                <w:szCs w:val="17"/>
              </w:rPr>
              <w:t xml:space="preserve"> — unchanged</w:t>
            </w:r>
          </w:p>
        </w:tc>
        <w:tc>
          <w:tcPr>
            <w:tcW w:type="dxa" w:w="3031"/>
            <w:tcMar>
              <w:top w:type="dxa" w:w="70"/>
              <w:left w:type="dxa" w:w="100"/>
              <w:bottom w:type="dxa" w:w="70"/>
              <w:right w:type="dxa" w:w="100"/>
            </w:tcMar>
          </w:tcPr>
          <w:p>
            <w:pPr>
              <w:spacing w:after="0" w:before="0" w:line="252"/>
            </w:pPr>
            <w:r>
              <w:rPr>
                <w:color w:val="1F2430"/>
                <w:sz w:val="17"/>
                <w:szCs w:val="17"/>
              </w:rPr>
              <w:t xml:space="preserve">Independent idtype rows blocking each other under page-lock escalation</w:t>
            </w:r>
          </w:p>
        </w:tc>
      </w:tr>
      <w:tr>
        <w:tc>
          <w:tcPr>
            <w:tcW w:type="dxa" w:w="700"/>
            <w:shd w:fill="F5F6FA" w:color="auto" w:val="clear"/>
            <w:tcMar>
              <w:top w:type="dxa" w:w="70"/>
              <w:left w:type="dxa" w:w="100"/>
              <w:bottom w:type="dxa" w:w="70"/>
              <w:right w:type="dxa" w:w="100"/>
            </w:tcMar>
          </w:tcPr>
          <w:p>
            <w:pPr>
              <w:spacing w:after="0" w:before="0" w:line="252"/>
            </w:pPr>
            <w:r>
              <w:rPr>
                <w:b/>
                <w:bCs/>
                <w:color w:val="1F2430"/>
                <w:sz w:val="17"/>
                <w:szCs w:val="17"/>
              </w:rPr>
              <w:t xml:space="preserve">CAP-C4-CON11</w:t>
            </w:r>
          </w:p>
        </w:tc>
        <w:tc>
          <w:tcPr>
            <w:tcW w:type="dxa" w:w="2999"/>
            <w:tcMar>
              <w:top w:type="dxa" w:w="70"/>
              <w:left w:type="dxa" w:w="100"/>
              <w:bottom w:type="dxa" w:w="70"/>
              <w:right w:type="dxa" w:w="100"/>
            </w:tcMar>
          </w:tcPr>
          <w:p>
            <w:pPr>
              <w:spacing w:after="0" w:before="0" w:line="252"/>
            </w:pPr>
            <w:r>
              <w:rPr>
                <w:color w:val="1F2430"/>
                <w:sz w:val="17"/>
                <w:szCs w:val="17"/>
              </w:rPr>
              <w:t xml:space="preserve">PlanIntegration — orchestration held as configuration, not under version control</w:t>
            </w:r>
          </w:p>
        </w:tc>
        <w:tc>
          <w:tcPr>
            <w:tcW w:type="dxa" w:w="1482"/>
            <w:tcMar>
              <w:top w:type="dxa" w:w="70"/>
              <w:left w:type="dxa" w:w="100"/>
              <w:bottom w:type="dxa" w:w="70"/>
              <w:right w:type="dxa" w:w="100"/>
            </w:tcMar>
          </w:tcPr>
          <w:p>
            <w:pPr>
              <w:spacing w:after="0" w:before="0" w:line="252"/>
            </w:pPr>
            <w:r>
              <w:rPr>
                <w:color w:val="1F2430"/>
                <w:sz w:val="17"/>
                <w:szCs w:val="17"/>
              </w:rPr>
              <w:t xml:space="preserve">Cycle Orchestrator</w:t>
            </w:r>
          </w:p>
        </w:tc>
        <w:tc>
          <w:tcPr>
            <w:tcW w:type="dxa" w:w="2547"/>
            <w:tcMar>
              <w:top w:type="dxa" w:w="70"/>
              <w:left w:type="dxa" w:w="100"/>
              <w:bottom w:type="dxa" w:w="70"/>
              <w:right w:type="dxa" w:w="100"/>
            </w:tcMar>
          </w:tcPr>
          <w:p>
            <w:pPr>
              <w:spacing w:after="0" w:before="0" w:line="252"/>
            </w:pPr>
            <w:r>
              <w:rPr>
                <w:color w:val="1F2430"/>
                <w:sz w:val="17"/>
                <w:szCs w:val="17"/>
              </w:rPr>
              <w:t xml:space="preserve">Orchestration as code, .NET 10 worker; versioned, diffable, tested</w:t>
            </w:r>
          </w:p>
        </w:tc>
        <w:tc>
          <w:tcPr>
            <w:tcW w:type="dxa" w:w="2921"/>
            <w:tcMar>
              <w:top w:type="dxa" w:w="70"/>
              <w:left w:type="dxa" w:w="100"/>
              <w:bottom w:type="dxa" w:w="70"/>
              <w:right w:type="dxa" w:w="100"/>
            </w:tcMar>
          </w:tcPr>
          <w:p>
            <w:pPr>
              <w:spacing w:after="0" w:before="0" w:line="252"/>
            </w:pPr>
            <w:r>
              <w:rPr>
                <w:rFonts w:ascii="Consolas" w:hAnsi="Consolas" w:cs="Consolas"/>
                <w:color w:val="1C3D5A"/>
                <w:sz w:val="16"/>
                <w:szCs w:val="16"/>
              </w:rPr>
              <w:t xml:space="preserve">mms-cms-cef</w:t>
            </w:r>
            <w:r>
              <w:rPr>
                <w:color w:val="1F2430"/>
                <w:sz w:val="17"/>
                <w:szCs w:val="17"/>
              </w:rPr>
              <w:t xml:space="preserve"> — unchanged</w:t>
            </w:r>
          </w:p>
        </w:tc>
        <w:tc>
          <w:tcPr>
            <w:tcW w:type="dxa" w:w="3031"/>
            <w:tcMar>
              <w:top w:type="dxa" w:w="70"/>
              <w:left w:type="dxa" w:w="100"/>
              <w:bottom w:type="dxa" w:w="70"/>
              <w:right w:type="dxa" w:w="100"/>
            </w:tcMar>
          </w:tcPr>
          <w:p>
            <w:pPr>
              <w:spacing w:after="0" w:before="0" w:line="252"/>
            </w:pPr>
            <w:r>
              <w:rPr>
                <w:color w:val="1F2430"/>
                <w:sz w:val="17"/>
                <w:szCs w:val="17"/>
              </w:rPr>
              <w:t xml:space="preserve">Control flow knowable only by querying production</w:t>
            </w:r>
          </w:p>
        </w:tc>
      </w:tr>
      <w:tr>
        <w:tc>
          <w:tcPr>
            <w:tcW w:type="dxa" w:w="700"/>
            <w:shd w:fill="F5F6FA" w:color="auto" w:val="clear"/>
            <w:tcMar>
              <w:top w:type="dxa" w:w="70"/>
              <w:left w:type="dxa" w:w="100"/>
              <w:bottom w:type="dxa" w:w="70"/>
              <w:right w:type="dxa" w:w="100"/>
            </w:tcMar>
          </w:tcPr>
          <w:p>
            <w:pPr>
              <w:spacing w:after="0" w:before="0" w:line="252"/>
            </w:pPr>
            <w:r>
              <w:rPr>
                <w:b/>
                <w:bCs/>
                <w:color w:val="1F2430"/>
                <w:sz w:val="17"/>
                <w:szCs w:val="17"/>
              </w:rPr>
              <w:t xml:space="preserve">CAP-C4-CON12</w:t>
            </w:r>
          </w:p>
        </w:tc>
        <w:tc>
          <w:tcPr>
            <w:tcW w:type="dxa" w:w="2999"/>
            <w:tcMar>
              <w:top w:type="dxa" w:w="70"/>
              <w:left w:type="dxa" w:w="100"/>
              <w:bottom w:type="dxa" w:w="70"/>
              <w:right w:type="dxa" w:w="100"/>
            </w:tcMar>
          </w:tcPr>
          <w:p>
            <w:pPr>
              <w:spacing w:after="0" w:before="0" w:line="252"/>
            </w:pPr>
            <w:r>
              <w:rPr>
                <w:color w:val="1F2430"/>
                <w:sz w:val="17"/>
                <w:szCs w:val="17"/>
              </w:rPr>
              <w:t xml:space="preserve">Corticon rules engine — vendor IP, rulesheets code-opaque</w:t>
            </w:r>
          </w:p>
        </w:tc>
        <w:tc>
          <w:tcPr>
            <w:tcW w:type="dxa" w:w="1482"/>
            <w:tcMar>
              <w:top w:type="dxa" w:w="70"/>
              <w:left w:type="dxa" w:w="100"/>
              <w:bottom w:type="dxa" w:w="70"/>
              <w:right w:type="dxa" w:w="100"/>
            </w:tcMar>
          </w:tcPr>
          <w:p>
            <w:pPr>
              <w:spacing w:after="0" w:before="0" w:line="252"/>
            </w:pPr>
            <w:r>
              <w:rPr>
                <w:color w:val="1F2430"/>
                <w:sz w:val="17"/>
                <w:szCs w:val="17"/>
              </w:rPr>
              <w:t xml:space="preserve">Corticon Rules via Rules API</w:t>
            </w:r>
          </w:p>
        </w:tc>
        <w:tc>
          <w:tcPr>
            <w:tcW w:type="dxa" w:w="2547"/>
            <w:tcMar>
              <w:top w:type="dxa" w:w="70"/>
              <w:left w:type="dxa" w:w="100"/>
              <w:bottom w:type="dxa" w:w="70"/>
              <w:right w:type="dxa" w:w="100"/>
            </w:tcMar>
          </w:tcPr>
          <w:p>
            <w:pPr>
              <w:spacing w:after="0" w:before="0" w:line="252"/>
            </w:pPr>
            <w:r>
              <w:rPr>
                <w:color w:val="1F2430"/>
                <w:sz w:val="17"/>
                <w:szCs w:val="17"/>
              </w:rPr>
              <w:t xml:space="preserve">Corticon </w:t>
            </w:r>
            <w:r>
              <w:rPr>
                <w:b/>
                <w:bCs/>
                <w:color w:val="1F2430"/>
                <w:sz w:val="17"/>
                <w:szCs w:val="17"/>
              </w:rPr>
              <w:t xml:space="preserve">retained</w:t>
            </w:r>
            <w:r>
              <w:rPr>
                <w:color w:val="1F2430"/>
                <w:sz w:val="17"/>
                <w:szCs w:val="17"/>
              </w:rPr>
              <w:t xml:space="preserve">, wrapped by an anti-corruption Rules API</w:t>
            </w:r>
          </w:p>
        </w:tc>
        <w:tc>
          <w:tcPr>
            <w:tcW w:type="dxa" w:w="2921"/>
            <w:tcMar>
              <w:top w:type="dxa" w:w="70"/>
              <w:left w:type="dxa" w:w="100"/>
              <w:bottom w:type="dxa" w:w="70"/>
              <w:right w:type="dxa" w:w="100"/>
            </w:tcMar>
          </w:tcPr>
          <w:p>
            <w:pPr>
              <w:spacing w:after="0" w:before="0" w:line="252"/>
            </w:pPr>
            <w:r>
              <w:rPr>
                <w:rFonts w:ascii="Consolas" w:hAnsi="Consolas" w:cs="Consolas"/>
                <w:color w:val="1C3D5A"/>
                <w:sz w:val="16"/>
                <w:szCs w:val="16"/>
              </w:rPr>
              <w:t xml:space="preserve">finance-corticon-businessrules</w:t>
            </w:r>
            <w:r>
              <w:rPr>
                <w:color w:val="1F2430"/>
                <w:sz w:val="17"/>
                <w:szCs w:val="17"/>
              </w:rPr>
              <w:t xml:space="preserve"> — unchanged</w:t>
            </w:r>
          </w:p>
        </w:tc>
        <w:tc>
          <w:tcPr>
            <w:tcW w:type="dxa" w:w="3031"/>
            <w:tcMar>
              <w:top w:type="dxa" w:w="70"/>
              <w:left w:type="dxa" w:w="100"/>
              <w:bottom w:type="dxa" w:w="70"/>
              <w:right w:type="dxa" w:w="100"/>
            </w:tcMar>
          </w:tcPr>
          <w:p>
            <w:pPr>
              <w:spacing w:after="0" w:before="0" w:line="252"/>
            </w:pPr>
            <w:r>
              <w:rPr>
                <w:color w:val="1F2430"/>
                <w:sz w:val="17"/>
                <w:szCs w:val="17"/>
              </w:rPr>
              <w:t xml:space="preserve">EXTERNAL at 1.3.4; isolates the boundary without claiming to have read it</w:t>
            </w:r>
          </w:p>
        </w:tc>
      </w:tr>
    </w:tbl>
    <w:p>
      <w:pPr>
        <w:spacing w:after="140" w:before="0" w:line="264"/>
      </w:pPr>
    </w:p>
    <w:p>
      <w:pPr>
        <w:sectPr>
          <w:headerReference w:type="default" r:id="rId20"/>
          <w:footerReference w:type="default" r:id="rId21"/>
          <w:pgSz w:w="15840" w:h="12240" w:orient="landscape"/>
          <w:pgMar w:top="1080" w:right="1180" w:bottom="1080" w:left="1080" w:header="620" w:footer="560" w:gutter="0"/>
          <w:pgNumType/>
          <w:docGrid w:linePitch="360"/>
        </w:sectPr>
      </w:pPr>
    </w:p>
    <w:p>
      <w:pPr>
        <w:pStyle w:val="Heading2"/>
        <w:keepNext/>
        <w:spacing w:before="260" w:after="110" w:line="264"/>
        <w:outlineLvl w:val="1"/>
      </w:pPr>
      <w:r>
        <w:rPr>
          <w:b/>
          <w:bCs/>
          <w:color w:val="1A237E"/>
          <w:sz w:val="24"/>
          <w:szCs w:val="24"/>
        </w:rPr>
        <w:t xml:space="preserve">3.2 Reading the traceability honestly</w:t>
      </w:r>
    </w:p>
    <w:p>
      <w:pPr>
        <w:spacing w:after="130" w:before="0" w:line="264"/>
      </w:pPr>
      <w:r>
        <w:rPr>
          <w:color w:val="1F2430"/>
          <w:sz w:val="20"/>
          <w:szCs w:val="20"/>
        </w:rPr>
        <w:t xml:space="preserve">Three things in that table deserve to be called out rather than buried.</w:t>
      </w:r>
    </w:p>
    <w:p>
      <w:pPr>
        <w:spacing w:after="130" w:before="0" w:line="264"/>
      </w:pPr>
      <w:r>
        <w:rPr>
          <w:b/>
          <w:bCs/>
          <w:color w:val="1F2430"/>
          <w:sz w:val="20"/>
          <w:szCs w:val="20"/>
        </w:rPr>
        <w:t xml:space="preserve">Only one container changes repository.</w:t>
      </w:r>
      <w:r>
        <w:rPr>
          <w:color w:val="1F2430"/>
          <w:sz w:val="20"/>
          <w:szCs w:val="20"/>
        </w:rPr>
        <w:t xml:space="preserve"> CON06 moves from </w:t>
      </w:r>
      <w:r>
        <w:rPr>
          <w:rFonts w:ascii="Consolas" w:hAnsi="Consolas" w:cs="Consolas"/>
          <w:color w:val="1C3D5A"/>
          <w:sz w:val="19"/>
          <w:szCs w:val="19"/>
        </w:rPr>
        <w:t xml:space="preserve">act-oh-OHDDI</w:t>
      </w:r>
      <w:r>
        <w:rPr>
          <w:color w:val="1F2430"/>
          <w:sz w:val="20"/>
          <w:szCs w:val="20"/>
        </w:rPr>
        <w:t xml:space="preserve"> to </w:t>
      </w:r>
      <w:r>
        <w:rPr>
          <w:rFonts w:ascii="Consolas" w:hAnsi="Consolas" w:cs="Consolas"/>
          <w:color w:val="1C3D5A"/>
          <w:sz w:val="19"/>
          <w:szCs w:val="19"/>
        </w:rPr>
        <w:t xml:space="preserve">mms-cms-cef</w:t>
      </w:r>
      <w:r>
        <w:rPr>
          <w:color w:val="1F2430"/>
          <w:sz w:val="20"/>
          <w:szCs w:val="20"/>
        </w:rPr>
        <w:t xml:space="preserve">, because lifting the PostCap T-SQL into domain code puts it alongside the calculation service that already owns the same aggregates. That move is the point of the work, not a side effect of it. Everything else stays where it is.</w:t>
      </w:r>
    </w:p>
    <w:p>
      <w:pPr>
        <w:spacing w:after="130" w:before="0" w:line="264"/>
      </w:pPr>
      <w:r>
        <w:rPr>
          <w:b/>
          <w:bCs/>
          <w:color w:val="1F2430"/>
          <w:sz w:val="20"/>
          <w:szCs w:val="20"/>
        </w:rPr>
        <w:t xml:space="preserve">Three containers keep a vendor engine.</w:t>
      </w:r>
      <w:r>
        <w:rPr>
          <w:color w:val="1F2430"/>
          <w:sz w:val="20"/>
          <w:szCs w:val="20"/>
        </w:rPr>
        <w:t xml:space="preserve"> CON08 Flexi, CON12 Corticon and the Edifecs component of CON09 are third-party and stay third-party. The target isolates them behind contracts so the rest of the estate can move without waiting on a vendor. It does not claim to have decomposed them, because the current-state evidence is explicit that their source and symbols are unavailable.</w:t>
      </w:r>
    </w:p>
    <w:p>
      <w:pPr>
        <w:spacing w:after="130" w:before="0" w:line="264"/>
      </w:pPr>
      <w:r>
        <w:rPr>
          <w:b/>
          <w:bCs/>
          <w:color w:val="1F2430"/>
          <w:sz w:val="20"/>
          <w:szCs w:val="20"/>
        </w:rPr>
        <w:t xml:space="preserve">The overall posture at 1.3.4 is what the target is designed against.</w:t>
      </w:r>
      <w:r>
        <w:rPr>
          <w:color w:val="1F2430"/>
          <w:sz w:val="20"/>
          <w:szCs w:val="20"/>
        </w:rPr>
        <w:t xml:space="preserve"> That assessment — roughly 40% readable logic, 25% orchestration and framework behaviour living only as configuration and vendor binary, 5% third-party engine, and 30% shared-data coupling — is the actual problem statement. The 30% shared-data coupling is addressed first, at CON03, CON04 and CON10, because §1.3.4 records that it is the coupling and not the complexity that blocks everything else.</w:t>
      </w:r>
    </w:p>
    <w:p>
      <w:pPr>
        <w:pStyle w:val="Heading2"/>
        <w:keepNext/>
        <w:spacing w:before="260" w:after="110" w:line="264"/>
        <w:outlineLvl w:val="1"/>
      </w:pPr>
      <w:r>
        <w:rPr>
          <w:b/>
          <w:bCs/>
          <w:color w:val="1A237E"/>
          <w:sz w:val="24"/>
          <w:szCs w:val="24"/>
        </w:rPr>
        <w:t xml:space="preserve">3.3 Repository disposition</w:t>
      </w:r>
    </w:p>
    <w:tbl>
      <w:tblPr>
        <w:tblW w:type="dxa" w:w="10080"/>
        <w:tblBorders>
          <w:top w:val="single" w:color="9FA8DA" w:sz="4"/>
          <w:left w:val="single" w:color="9FA8DA" w:sz="4"/>
          <w:bottom w:val="single" w:color="9FA8DA" w:sz="4"/>
          <w:right w:val="single" w:color="9FA8DA" w:sz="4"/>
          <w:insideH w:val="single" w:color="C5CAE9" w:sz="2"/>
          <w:insideV w:val="single" w:color="C5CAE9" w:sz="2"/>
        </w:tblBorders>
      </w:tblPr>
      <w:tblGrid>
        <w:gridCol w:w="2005"/>
        <w:gridCol w:w="2125"/>
        <w:gridCol w:w="3474"/>
        <w:gridCol w:w="2476"/>
      </w:tblGrid>
      <w:tr>
        <w:trPr>
          <w:tblHeader/>
          <w:cantSplit/>
        </w:trPr>
        <w:tc>
          <w:tcPr>
            <w:tcW w:type="dxa" w:w="2005"/>
            <w:shd w:fill="1A237E" w:color="auto" w:val="clear"/>
            <w:tcMar>
              <w:top w:type="dxa" w:w="70"/>
              <w:left w:type="dxa" w:w="100"/>
              <w:bottom w:type="dxa" w:w="70"/>
              <w:right w:type="dxa" w:w="100"/>
            </w:tcMar>
            <w:vAlign w:val="center"/>
          </w:tcPr>
          <w:p>
            <w:pPr>
              <w:spacing w:after="0" w:before="0" w:line="252"/>
            </w:pPr>
            <w:r>
              <w:rPr>
                <w:b/>
                <w:bCs/>
                <w:color w:val="FFFFFF"/>
                <w:sz w:val="17"/>
                <w:szCs w:val="17"/>
              </w:rPr>
              <w:t xml:space="preserve">Repository</w:t>
            </w:r>
          </w:p>
        </w:tc>
        <w:tc>
          <w:tcPr>
            <w:tcW w:type="dxa" w:w="2125"/>
            <w:shd w:fill="1A237E" w:color="auto" w:val="clear"/>
            <w:tcMar>
              <w:top w:type="dxa" w:w="70"/>
              <w:left w:type="dxa" w:w="100"/>
              <w:bottom w:type="dxa" w:w="70"/>
              <w:right w:type="dxa" w:w="100"/>
            </w:tcMar>
            <w:vAlign w:val="center"/>
          </w:tcPr>
          <w:p>
            <w:pPr>
              <w:spacing w:after="0" w:before="0" w:line="252"/>
            </w:pPr>
            <w:r>
              <w:rPr>
                <w:b/>
                <w:bCs/>
                <w:color w:val="FFFFFF"/>
                <w:sz w:val="17"/>
                <w:szCs w:val="17"/>
              </w:rPr>
              <w:t xml:space="preserve">Containers it owns in target</w:t>
            </w:r>
          </w:p>
        </w:tc>
        <w:tc>
          <w:tcPr>
            <w:tcW w:type="dxa" w:w="3474"/>
            <w:shd w:fill="1A237E" w:color="auto" w:val="clear"/>
            <w:tcMar>
              <w:top w:type="dxa" w:w="70"/>
              <w:left w:type="dxa" w:w="100"/>
              <w:bottom w:type="dxa" w:w="70"/>
              <w:right w:type="dxa" w:w="100"/>
            </w:tcMar>
            <w:vAlign w:val="center"/>
          </w:tcPr>
          <w:p>
            <w:pPr>
              <w:spacing w:after="0" w:before="0" w:line="252"/>
            </w:pPr>
            <w:r>
              <w:rPr>
                <w:b/>
                <w:bCs/>
                <w:color w:val="FFFFFF"/>
                <w:sz w:val="17"/>
                <w:szCs w:val="17"/>
              </w:rPr>
              <w:t xml:space="preserve">Principal technology change</w:t>
            </w:r>
          </w:p>
        </w:tc>
        <w:tc>
          <w:tcPr>
            <w:tcW w:type="dxa" w:w="2476"/>
            <w:shd w:fill="1A237E" w:color="auto" w:val="clear"/>
            <w:tcMar>
              <w:top w:type="dxa" w:w="70"/>
              <w:left w:type="dxa" w:w="100"/>
              <w:bottom w:type="dxa" w:w="70"/>
              <w:right w:type="dxa" w:w="100"/>
            </w:tcMar>
            <w:vAlign w:val="center"/>
          </w:tcPr>
          <w:p>
            <w:pPr>
              <w:spacing w:after="0" w:before="0" w:line="252"/>
            </w:pPr>
            <w:r>
              <w:rPr>
                <w:b/>
                <w:bCs/>
                <w:color w:val="FFFFFF"/>
                <w:sz w:val="17"/>
                <w:szCs w:val="17"/>
              </w:rPr>
              <w:t xml:space="preserve">Boundary change</w:t>
            </w:r>
          </w:p>
        </w:tc>
      </w:tr>
      <w:tr>
        <w:tc>
          <w:tcPr>
            <w:tcW w:type="dxa" w:w="2005"/>
            <w:shd w:fill="F5F6FA" w:color="auto" w:val="clear"/>
            <w:tcMar>
              <w:top w:type="dxa" w:w="70"/>
              <w:left w:type="dxa" w:w="100"/>
              <w:bottom w:type="dxa" w:w="70"/>
              <w:right w:type="dxa" w:w="100"/>
            </w:tcMar>
          </w:tcPr>
          <w:p>
            <w:pPr>
              <w:spacing w:after="0" w:before="0" w:line="252"/>
            </w:pPr>
            <w:r>
              <w:rPr>
                <w:rFonts w:ascii="Consolas" w:hAnsi="Consolas" w:cs="Consolas"/>
                <w:b/>
                <w:bCs/>
                <w:color w:val="1C3D5A"/>
                <w:sz w:val="16"/>
                <w:szCs w:val="16"/>
              </w:rPr>
              <w:t xml:space="preserve">mms-cms-cef</w:t>
            </w:r>
          </w:p>
        </w:tc>
        <w:tc>
          <w:tcPr>
            <w:tcW w:type="dxa" w:w="2125"/>
            <w:tcMar>
              <w:top w:type="dxa" w:w="70"/>
              <w:left w:type="dxa" w:w="100"/>
              <w:bottom w:type="dxa" w:w="70"/>
              <w:right w:type="dxa" w:w="100"/>
            </w:tcMar>
          </w:tcPr>
          <w:p>
            <w:pPr>
              <w:spacing w:after="0" w:before="0" w:line="252"/>
            </w:pPr>
            <w:r>
              <w:rPr>
                <w:color w:val="1F2430"/>
                <w:sz w:val="17"/>
                <w:szCs w:val="17"/>
              </w:rPr>
              <w:t xml:space="preserve">CON01, CON02, CON03, CON06, CON10, CON11</w:t>
            </w:r>
          </w:p>
        </w:tc>
        <w:tc>
          <w:tcPr>
            <w:tcW w:type="dxa" w:w="3474"/>
            <w:tcMar>
              <w:top w:type="dxa" w:w="70"/>
              <w:left w:type="dxa" w:w="100"/>
              <w:bottom w:type="dxa" w:w="70"/>
              <w:right w:type="dxa" w:w="100"/>
            </w:tcMar>
          </w:tcPr>
          <w:p>
            <w:pPr>
              <w:spacing w:after="0" w:before="0" w:line="252"/>
            </w:pPr>
            <w:r>
              <w:rPr>
                <w:color w:val="1F2430"/>
                <w:sz w:val="17"/>
                <w:szCs w:val="17"/>
              </w:rPr>
              <w:t xml:space="preserve">.NET Framework 4.8 and vendor QFrame chain → .NET 10, Kafka, PostgreSQL</w:t>
            </w:r>
          </w:p>
        </w:tc>
        <w:tc>
          <w:tcPr>
            <w:tcW w:type="dxa" w:w="2476"/>
            <w:tcMar>
              <w:top w:type="dxa" w:w="70"/>
              <w:left w:type="dxa" w:w="100"/>
              <w:bottom w:type="dxa" w:w="70"/>
              <w:right w:type="dxa" w:w="100"/>
            </w:tcMar>
          </w:tcPr>
          <w:p>
            <w:pPr>
              <w:spacing w:after="0" w:before="0" w:line="252"/>
            </w:pPr>
            <w:r>
              <w:rPr>
                <w:color w:val="1F2430"/>
                <w:sz w:val="17"/>
                <w:szCs w:val="17"/>
              </w:rPr>
              <w:t xml:space="preserve">Gains CON06</w:t>
            </w:r>
          </w:p>
        </w:tc>
      </w:tr>
      <w:tr>
        <w:tc>
          <w:tcPr>
            <w:tcW w:type="dxa" w:w="2005"/>
            <w:shd w:fill="F5F6FA" w:color="auto" w:val="clear"/>
            <w:tcMar>
              <w:top w:type="dxa" w:w="70"/>
              <w:left w:type="dxa" w:w="100"/>
              <w:bottom w:type="dxa" w:w="70"/>
              <w:right w:type="dxa" w:w="100"/>
            </w:tcMar>
          </w:tcPr>
          <w:p>
            <w:pPr>
              <w:spacing w:after="0" w:before="0" w:line="252"/>
            </w:pPr>
            <w:r>
              <w:rPr>
                <w:rFonts w:ascii="Consolas" w:hAnsi="Consolas" w:cs="Consolas"/>
                <w:b/>
                <w:bCs/>
                <w:color w:val="1C3D5A"/>
                <w:sz w:val="16"/>
                <w:szCs w:val="16"/>
              </w:rPr>
              <w:t xml:space="preserve">sis-inx-edigw</w:t>
            </w:r>
          </w:p>
        </w:tc>
        <w:tc>
          <w:tcPr>
            <w:tcW w:type="dxa" w:w="2125"/>
            <w:tcMar>
              <w:top w:type="dxa" w:w="70"/>
              <w:left w:type="dxa" w:w="100"/>
              <w:bottom w:type="dxa" w:w="70"/>
              <w:right w:type="dxa" w:w="100"/>
            </w:tcMar>
          </w:tcPr>
          <w:p>
            <w:pPr>
              <w:spacing w:after="0" w:before="0" w:line="252"/>
            </w:pPr>
            <w:r>
              <w:rPr>
                <w:color w:val="1F2430"/>
                <w:sz w:val="17"/>
                <w:szCs w:val="17"/>
              </w:rPr>
              <w:t xml:space="preserve">CON09</w:t>
            </w:r>
          </w:p>
        </w:tc>
        <w:tc>
          <w:tcPr>
            <w:tcW w:type="dxa" w:w="3474"/>
            <w:tcMar>
              <w:top w:type="dxa" w:w="70"/>
              <w:left w:type="dxa" w:w="100"/>
              <w:bottom w:type="dxa" w:w="70"/>
              <w:right w:type="dxa" w:w="100"/>
            </w:tcMar>
          </w:tcPr>
          <w:p>
            <w:pPr>
              <w:spacing w:after="0" w:before="0" w:line="252"/>
            </w:pPr>
            <w:r>
              <w:rPr>
                <w:color w:val="1F2430"/>
                <w:sz w:val="17"/>
                <w:szCs w:val="17"/>
              </w:rPr>
              <w:t xml:space="preserve">.NET Framework 4.8, WCF, MSMQ → .NET 10, Kafka; Edifecs retained</w:t>
            </w:r>
          </w:p>
        </w:tc>
        <w:tc>
          <w:tcPr>
            <w:tcW w:type="dxa" w:w="2476"/>
            <w:tcMar>
              <w:top w:type="dxa" w:w="70"/>
              <w:left w:type="dxa" w:w="100"/>
              <w:bottom w:type="dxa" w:w="70"/>
              <w:right w:type="dxa" w:w="100"/>
            </w:tcMar>
          </w:tcPr>
          <w:p>
            <w:pPr>
              <w:spacing w:after="0" w:before="0" w:line="252"/>
            </w:pPr>
            <w:r>
              <w:rPr>
                <w:color w:val="1F2430"/>
                <w:sz w:val="17"/>
                <w:szCs w:val="17"/>
              </w:rPr>
              <w:t xml:space="preserve">None</w:t>
            </w:r>
          </w:p>
        </w:tc>
      </w:tr>
      <w:tr>
        <w:tc>
          <w:tcPr>
            <w:tcW w:type="dxa" w:w="2005"/>
            <w:shd w:fill="F5F6FA" w:color="auto" w:val="clear"/>
            <w:tcMar>
              <w:top w:type="dxa" w:w="70"/>
              <w:left w:type="dxa" w:w="100"/>
              <w:bottom w:type="dxa" w:w="70"/>
              <w:right w:type="dxa" w:w="100"/>
            </w:tcMar>
          </w:tcPr>
          <w:p>
            <w:pPr>
              <w:spacing w:after="0" w:before="0" w:line="252"/>
            </w:pPr>
            <w:r>
              <w:rPr>
                <w:rFonts w:ascii="Consolas" w:hAnsi="Consolas" w:cs="Consolas"/>
                <w:b/>
                <w:bCs/>
                <w:color w:val="1C3D5A"/>
                <w:sz w:val="16"/>
                <w:szCs w:val="16"/>
              </w:rPr>
              <w:t xml:space="preserve">mms-bolton-fin-ohio</w:t>
            </w:r>
          </w:p>
        </w:tc>
        <w:tc>
          <w:tcPr>
            <w:tcW w:type="dxa" w:w="2125"/>
            <w:tcMar>
              <w:top w:type="dxa" w:w="70"/>
              <w:left w:type="dxa" w:w="100"/>
              <w:bottom w:type="dxa" w:w="70"/>
              <w:right w:type="dxa" w:w="100"/>
            </w:tcMar>
          </w:tcPr>
          <w:p>
            <w:pPr>
              <w:spacing w:after="0" w:before="0" w:line="252"/>
            </w:pPr>
            <w:r>
              <w:rPr>
                <w:color w:val="1F2430"/>
                <w:sz w:val="17"/>
                <w:szCs w:val="17"/>
              </w:rPr>
              <w:t xml:space="preserve">CON07, CON08</w:t>
            </w:r>
          </w:p>
        </w:tc>
        <w:tc>
          <w:tcPr>
            <w:tcW w:type="dxa" w:w="3474"/>
            <w:tcMar>
              <w:top w:type="dxa" w:w="70"/>
              <w:left w:type="dxa" w:w="100"/>
              <w:bottom w:type="dxa" w:w="70"/>
              <w:right w:type="dxa" w:w="100"/>
            </w:tcMar>
          </w:tcPr>
          <w:p>
            <w:pPr>
              <w:spacing w:after="0" w:before="0" w:line="252"/>
            </w:pPr>
            <w:r>
              <w:rPr>
                <w:color w:val="1F2430"/>
                <w:sz w:val="17"/>
                <w:szCs w:val="17"/>
              </w:rPr>
              <w:t xml:space="preserve">SSIS hpfin packages → .NET 10 Kafka consumers; Flexi via API</w:t>
            </w:r>
          </w:p>
        </w:tc>
        <w:tc>
          <w:tcPr>
            <w:tcW w:type="dxa" w:w="2476"/>
            <w:tcMar>
              <w:top w:type="dxa" w:w="70"/>
              <w:left w:type="dxa" w:w="100"/>
              <w:bottom w:type="dxa" w:w="70"/>
              <w:right w:type="dxa" w:w="100"/>
            </w:tcMar>
          </w:tcPr>
          <w:p>
            <w:pPr>
              <w:spacing w:after="0" w:before="0" w:line="252"/>
            </w:pPr>
            <w:r>
              <w:rPr>
                <w:color w:val="1F2430"/>
                <w:sz w:val="17"/>
                <w:szCs w:val="17"/>
              </w:rPr>
              <w:t xml:space="preserve">None</w:t>
            </w:r>
          </w:p>
        </w:tc>
      </w:tr>
      <w:tr>
        <w:tc>
          <w:tcPr>
            <w:tcW w:type="dxa" w:w="2005"/>
            <w:shd w:fill="F5F6FA" w:color="auto" w:val="clear"/>
            <w:tcMar>
              <w:top w:type="dxa" w:w="70"/>
              <w:left w:type="dxa" w:w="100"/>
              <w:bottom w:type="dxa" w:w="70"/>
              <w:right w:type="dxa" w:w="100"/>
            </w:tcMar>
          </w:tcPr>
          <w:p>
            <w:pPr>
              <w:spacing w:after="0" w:before="0" w:line="252"/>
            </w:pPr>
            <w:r>
              <w:rPr>
                <w:rFonts w:ascii="Consolas" w:hAnsi="Consolas" w:cs="Consolas"/>
                <w:b/>
                <w:bCs/>
                <w:color w:val="1C3D5A"/>
                <w:sz w:val="16"/>
                <w:szCs w:val="16"/>
              </w:rPr>
              <w:t xml:space="preserve">act-oh-OHDDI</w:t>
            </w:r>
          </w:p>
        </w:tc>
        <w:tc>
          <w:tcPr>
            <w:tcW w:type="dxa" w:w="2125"/>
            <w:tcMar>
              <w:top w:type="dxa" w:w="70"/>
              <w:left w:type="dxa" w:w="100"/>
              <w:bottom w:type="dxa" w:w="70"/>
              <w:right w:type="dxa" w:w="100"/>
            </w:tcMar>
          </w:tcPr>
          <w:p>
            <w:pPr>
              <w:spacing w:after="0" w:before="0" w:line="252"/>
            </w:pPr>
            <w:r>
              <w:rPr>
                <w:color w:val="1F2430"/>
                <w:sz w:val="17"/>
                <w:szCs w:val="17"/>
              </w:rPr>
              <w:t xml:space="preserve">CON04 (data), CON06 today</w:t>
            </w:r>
          </w:p>
        </w:tc>
        <w:tc>
          <w:tcPr>
            <w:tcW w:type="dxa" w:w="3474"/>
            <w:tcMar>
              <w:top w:type="dxa" w:w="70"/>
              <w:left w:type="dxa" w:w="100"/>
              <w:bottom w:type="dxa" w:w="70"/>
              <w:right w:type="dxa" w:w="100"/>
            </w:tcMar>
          </w:tcPr>
          <w:p>
            <w:pPr>
              <w:spacing w:after="0" w:before="0" w:line="252"/>
            </w:pPr>
            <w:r>
              <w:rPr>
                <w:color w:val="1F2430"/>
                <w:sz w:val="17"/>
                <w:szCs w:val="17"/>
              </w:rPr>
              <w:t xml:space="preserve">PostCap T-SQL → .NET 10 domain code; reference data published as a read model</w:t>
            </w:r>
          </w:p>
        </w:tc>
        <w:tc>
          <w:tcPr>
            <w:tcW w:type="dxa" w:w="2476"/>
            <w:tcMar>
              <w:top w:type="dxa" w:w="70"/>
              <w:left w:type="dxa" w:w="100"/>
              <w:bottom w:type="dxa" w:w="70"/>
              <w:right w:type="dxa" w:w="100"/>
            </w:tcMar>
          </w:tcPr>
          <w:p>
            <w:pPr>
              <w:spacing w:after="0" w:before="0" w:line="252"/>
            </w:pPr>
            <w:r>
              <w:rPr>
                <w:color w:val="1F2430"/>
                <w:sz w:val="17"/>
                <w:szCs w:val="17"/>
              </w:rPr>
              <w:t xml:space="preserve">Loses CON06</w:t>
            </w:r>
          </w:p>
        </w:tc>
      </w:tr>
      <w:tr>
        <w:tc>
          <w:tcPr>
            <w:tcW w:type="dxa" w:w="2005"/>
            <w:shd w:fill="F5F6FA" w:color="auto" w:val="clear"/>
            <w:tcMar>
              <w:top w:type="dxa" w:w="70"/>
              <w:left w:type="dxa" w:w="100"/>
              <w:bottom w:type="dxa" w:w="70"/>
              <w:right w:type="dxa" w:w="100"/>
            </w:tcMar>
          </w:tcPr>
          <w:p>
            <w:pPr>
              <w:spacing w:after="0" w:before="0" w:line="252"/>
            </w:pPr>
            <w:r>
              <w:rPr>
                <w:rFonts w:ascii="Consolas" w:hAnsi="Consolas" w:cs="Consolas"/>
                <w:b/>
                <w:bCs/>
                <w:color w:val="1C3D5A"/>
                <w:sz w:val="16"/>
                <w:szCs w:val="16"/>
              </w:rPr>
              <w:t xml:space="preserve">finance-corticon-businessrules</w:t>
            </w:r>
          </w:p>
        </w:tc>
        <w:tc>
          <w:tcPr>
            <w:tcW w:type="dxa" w:w="2125"/>
            <w:tcMar>
              <w:top w:type="dxa" w:w="70"/>
              <w:left w:type="dxa" w:w="100"/>
              <w:bottom w:type="dxa" w:w="70"/>
              <w:right w:type="dxa" w:w="100"/>
            </w:tcMar>
          </w:tcPr>
          <w:p>
            <w:pPr>
              <w:spacing w:after="0" w:before="0" w:line="252"/>
            </w:pPr>
            <w:r>
              <w:rPr>
                <w:color w:val="1F2430"/>
                <w:sz w:val="17"/>
                <w:szCs w:val="17"/>
              </w:rPr>
              <w:t xml:space="preserve">CON12</w:t>
            </w:r>
          </w:p>
        </w:tc>
        <w:tc>
          <w:tcPr>
            <w:tcW w:type="dxa" w:w="3474"/>
            <w:tcMar>
              <w:top w:type="dxa" w:w="70"/>
              <w:left w:type="dxa" w:w="100"/>
              <w:bottom w:type="dxa" w:w="70"/>
              <w:right w:type="dxa" w:w="100"/>
            </w:tcMar>
          </w:tcPr>
          <w:p>
            <w:pPr>
              <w:spacing w:after="0" w:before="0" w:line="252"/>
            </w:pPr>
            <w:r>
              <w:rPr>
                <w:color w:val="1F2430"/>
                <w:sz w:val="17"/>
                <w:szCs w:val="17"/>
              </w:rPr>
              <w:t xml:space="preserve">Corticon assets unchanged; wrapped by a Rules API</w:t>
            </w:r>
          </w:p>
        </w:tc>
        <w:tc>
          <w:tcPr>
            <w:tcW w:type="dxa" w:w="2476"/>
            <w:tcMar>
              <w:top w:type="dxa" w:w="70"/>
              <w:left w:type="dxa" w:w="100"/>
              <w:bottom w:type="dxa" w:w="70"/>
              <w:right w:type="dxa" w:w="100"/>
            </w:tcMar>
          </w:tcPr>
          <w:p>
            <w:pPr>
              <w:spacing w:after="0" w:before="0" w:line="252"/>
            </w:pPr>
            <w:r>
              <w:rPr>
                <w:color w:val="1F2430"/>
                <w:sz w:val="17"/>
                <w:szCs w:val="17"/>
              </w:rPr>
              <w:t xml:space="preserve">None</w:t>
            </w:r>
          </w:p>
        </w:tc>
      </w:tr>
      <w:tr>
        <w:tc>
          <w:tcPr>
            <w:tcW w:type="dxa" w:w="2005"/>
            <w:shd w:fill="F5F6FA" w:color="auto" w:val="clear"/>
            <w:tcMar>
              <w:top w:type="dxa" w:w="70"/>
              <w:left w:type="dxa" w:w="100"/>
              <w:bottom w:type="dxa" w:w="70"/>
              <w:right w:type="dxa" w:w="100"/>
            </w:tcMar>
          </w:tcPr>
          <w:p>
            <w:pPr>
              <w:spacing w:after="0" w:before="0" w:line="252"/>
            </w:pPr>
            <w:r>
              <w:rPr>
                <w:b/>
                <w:bCs/>
                <w:color w:val="1F2430"/>
                <w:sz w:val="17"/>
                <w:szCs w:val="17"/>
              </w:rPr>
              <w:t xml:space="preserve">MEMIM00065 / MEMSW00013 SSIS families</w:t>
            </w:r>
          </w:p>
        </w:tc>
        <w:tc>
          <w:tcPr>
            <w:tcW w:type="dxa" w:w="2125"/>
            <w:tcMar>
              <w:top w:type="dxa" w:w="70"/>
              <w:left w:type="dxa" w:w="100"/>
              <w:bottom w:type="dxa" w:w="70"/>
              <w:right w:type="dxa" w:w="100"/>
            </w:tcMar>
          </w:tcPr>
          <w:p>
            <w:pPr>
              <w:spacing w:after="0" w:before="0" w:line="252"/>
            </w:pPr>
            <w:r>
              <w:rPr>
                <w:color w:val="1F2430"/>
                <w:sz w:val="17"/>
                <w:szCs w:val="17"/>
              </w:rPr>
              <w:t xml:space="preserve">CON05</w:t>
            </w:r>
          </w:p>
        </w:tc>
        <w:tc>
          <w:tcPr>
            <w:tcW w:type="dxa" w:w="3474"/>
            <w:tcMar>
              <w:top w:type="dxa" w:w="70"/>
              <w:left w:type="dxa" w:w="100"/>
              <w:bottom w:type="dxa" w:w="70"/>
              <w:right w:type="dxa" w:w="100"/>
            </w:tcMar>
          </w:tcPr>
          <w:p>
            <w:pPr>
              <w:spacing w:after="0" w:before="0" w:line="252"/>
            </w:pPr>
            <w:r>
              <w:rPr>
                <w:color w:val="1F2430"/>
                <w:sz w:val="17"/>
                <w:szCs w:val="17"/>
              </w:rPr>
              <w:t xml:space="preserve">SSIS destructive reload → versioned snapshot ingestion</w:t>
            </w:r>
          </w:p>
        </w:tc>
        <w:tc>
          <w:tcPr>
            <w:tcW w:type="dxa" w:w="2476"/>
            <w:tcMar>
              <w:top w:type="dxa" w:w="70"/>
              <w:left w:type="dxa" w:w="100"/>
              <w:bottom w:type="dxa" w:w="70"/>
              <w:right w:type="dxa" w:w="100"/>
            </w:tcMar>
          </w:tcPr>
          <w:p>
            <w:pPr>
              <w:spacing w:after="0" w:before="0" w:line="252"/>
            </w:pPr>
            <w:r>
              <w:rPr>
                <w:b/>
                <w:bCs/>
                <w:color w:val="1F2430"/>
                <w:sz w:val="17"/>
                <w:szCs w:val="17"/>
              </w:rPr>
              <w:t xml:space="preserve">Owning repository not established at §2.1.4 — O-4</w:t>
            </w:r>
          </w:p>
        </w:tc>
      </w:tr>
      <w:tr>
        <w:tc>
          <w:tcPr>
            <w:tcW w:type="dxa" w:w="2005"/>
            <w:shd w:fill="F5F6FA" w:color="auto" w:val="clear"/>
            <w:tcMar>
              <w:top w:type="dxa" w:w="70"/>
              <w:left w:type="dxa" w:w="100"/>
              <w:bottom w:type="dxa" w:w="70"/>
              <w:right w:type="dxa" w:w="100"/>
            </w:tcMar>
          </w:tcPr>
          <w:p>
            <w:pPr>
              <w:spacing w:after="0" w:before="0" w:line="252"/>
            </w:pPr>
            <w:r>
              <w:rPr>
                <w:rFonts w:ascii="Consolas" w:hAnsi="Consolas" w:cs="Consolas"/>
                <w:b/>
                <w:bCs/>
                <w:color w:val="1C3D5A"/>
                <w:sz w:val="16"/>
                <w:szCs w:val="16"/>
              </w:rPr>
              <w:t xml:space="preserve">mms-cms-cef-r23</w:t>
            </w:r>
          </w:p>
        </w:tc>
        <w:tc>
          <w:tcPr>
            <w:tcW w:type="dxa" w:w="2125"/>
            <w:tcMar>
              <w:top w:type="dxa" w:w="70"/>
              <w:left w:type="dxa" w:w="100"/>
              <w:bottom w:type="dxa" w:w="70"/>
              <w:right w:type="dxa" w:w="100"/>
            </w:tcMar>
          </w:tcPr>
          <w:p>
            <w:pPr>
              <w:spacing w:after="0" w:before="0" w:line="252"/>
            </w:pPr>
            <w:r>
              <w:rPr>
                <w:color w:val="1F2430"/>
                <w:sz w:val="17"/>
                <w:szCs w:val="17"/>
              </w:rPr>
              <w:t xml:space="preserve">Lane A / R23 counterpart of the above</w:t>
            </w:r>
          </w:p>
        </w:tc>
        <w:tc>
          <w:tcPr>
            <w:tcW w:type="dxa" w:w="3474"/>
            <w:tcMar>
              <w:top w:type="dxa" w:w="70"/>
              <w:left w:type="dxa" w:w="100"/>
              <w:bottom w:type="dxa" w:w="70"/>
              <w:right w:type="dxa" w:w="100"/>
            </w:tcMar>
          </w:tcPr>
          <w:p>
            <w:pPr>
              <w:spacing w:after="0" w:before="0" w:line="252"/>
            </w:pPr>
            <w:r>
              <w:rPr>
                <w:color w:val="1F2430"/>
                <w:sz w:val="17"/>
                <w:szCs w:val="17"/>
              </w:rPr>
              <w:t xml:space="preserve">Not assessed — repository NOT PRESENT in the workspace, SME GATE at §2.1.4</w:t>
            </w:r>
          </w:p>
        </w:tc>
        <w:tc>
          <w:tcPr>
            <w:tcW w:type="dxa" w:w="2476"/>
            <w:tcMar>
              <w:top w:type="dxa" w:w="70"/>
              <w:left w:type="dxa" w:w="100"/>
              <w:bottom w:type="dxa" w:w="70"/>
              <w:right w:type="dxa" w:w="100"/>
            </w:tcMar>
          </w:tcPr>
          <w:p>
            <w:pPr>
              <w:spacing w:after="0" w:before="0" w:line="252"/>
            </w:pPr>
            <w:r>
              <w:rPr>
                <w:color w:val="1F2430"/>
                <w:sz w:val="17"/>
                <w:szCs w:val="17"/>
              </w:rPr>
              <w:t xml:space="preserve">Pending the R23 / R31 cutover decision — O-5</w:t>
            </w:r>
          </w:p>
        </w:tc>
      </w:tr>
    </w:tbl>
    <w:p>
      <w:pPr>
        <w:spacing w:after="140" w:before="0" w:line="264"/>
      </w:pPr>
    </w:p>
    <w:p>
      <w:pPr>
        <w:spacing w:after="130" w:before="0" w:line="264"/>
      </w:pPr>
      <w:r>
        <w:rPr>
          <w:rFonts w:ascii="Consolas" w:hAnsi="Consolas" w:cs="Consolas"/>
          <w:color w:val="1C3D5A"/>
          <w:sz w:val="19"/>
          <w:szCs w:val="19"/>
        </w:rPr>
        <w:t xml:space="preserve">mms-cms-v360</w:t>
      </w:r>
      <w:r>
        <w:rPr>
          <w:color w:val="1F2430"/>
          <w:sz w:val="20"/>
          <w:szCs w:val="20"/>
        </w:rPr>
        <w:t xml:space="preserve"> appears once in the source, at §1.4.5 in the discussion of the finance user tier. It is </w:t>
      </w:r>
      <w:r>
        <w:rPr>
          <w:b/>
          <w:bCs/>
          <w:color w:val="1F2430"/>
          <w:sz w:val="20"/>
          <w:szCs w:val="20"/>
        </w:rPr>
        <w:t xml:space="preserve">not one of the twelve capitation containers</w:t>
      </w:r>
      <w:r>
        <w:rPr>
          <w:color w:val="1F2430"/>
          <w:sz w:val="20"/>
          <w:szCs w:val="20"/>
        </w:rPr>
        <w:t xml:space="preserve"> and is therefore out of scope for this view pack. The front-end change is real but belongs to the V360 instrument, not here.</w:t>
      </w:r>
    </w:p>
    <w:p>
      <w:r>
        <w:br w:type="page"/>
      </w:r>
    </w:p>
    <w:p>
      <w:pPr>
        <w:pStyle w:val="Heading1"/>
        <w:keepNext/>
        <w:spacing w:before="300" w:after="140" w:line="264"/>
        <w:outlineLvl w:val="0"/>
      </w:pPr>
      <w:r>
        <w:rPr>
          <w:b/>
          <w:bCs/>
          <w:color w:val="1A237E"/>
          <w:sz w:val="30"/>
          <w:szCs w:val="30"/>
        </w:rPr>
        <w:t xml:space="preserve">4. Architecture views — C4 Levels 1 and 2</w:t>
      </w:r>
    </w:p>
    <w:p>
      <w:pPr>
        <w:pStyle w:val="Heading2"/>
        <w:keepNext/>
        <w:spacing w:before="260" w:after="110" w:line="264"/>
        <w:outlineLvl w:val="1"/>
      </w:pPr>
      <w:r>
        <w:rPr>
          <w:b/>
          <w:bCs/>
          <w:color w:val="1A237E"/>
          <w:sz w:val="24"/>
          <w:szCs w:val="24"/>
        </w:rPr>
        <w:t xml:space="preserve">4.1 V-T01 — Target System Context</w:t>
      </w:r>
    </w:p>
    <w:p>
      <w:pPr>
        <w:sectPr>
          <w:headerReference w:type="default" r:id="rId7"/>
          <w:footerReference w:type="default" r:id="rId8"/>
          <w:pgSz w:w="12240" w:h="15840" w:orient="portrait"/>
          <w:pgMar w:top="1180" w:right="1080" w:bottom="1080" w:left="1080" w:header="620" w:footer="560" w:gutter="0"/>
          <w:pgNumType/>
          <w:docGrid w:linePitch="360"/>
        </w:sectPr>
      </w:pPr>
    </w:p>
    <w:p>
      <w:pPr>
        <w:spacing w:before="60" w:after="60"/>
        <w:jc w:val="center"/>
      </w:pPr>
      <w:r>
        <w:drawing>
          <wp:inline distT="0" distB="0" distL="0" distR="0">
            <wp:extent cx="8778240" cy="5724939"/>
            <wp:effectExtent l="0" t="0" r="0" b="0"/>
            <wp:docPr id="101" nam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e 1"/>
                    <pic:cNvPicPr/>
                  </pic:nvPicPr>
                  <pic:blipFill>
                    <a:blip r:embed="rId101"/>
                    <a:stretch>
                      <a:fillRect/>
                    </a:stretch>
                  </pic:blipFill>
                  <pic:spPr>
                    <a:xfrm>
                      <a:off x="0" y="0"/>
                      <a:ext cx="8778240" cy="5724939"/>
                    </a:xfrm>
                    <a:prstGeom prst="rect">
                      <a:avLst/>
                    </a:prstGeom>
                  </pic:spPr>
                </pic:pic>
              </a:graphicData>
            </a:graphic>
          </wp:inline>
        </w:drawing>
      </w:r>
    </w:p>
    <w:p>
      <w:pPr>
        <w:spacing w:after="200" w:before="0" w:line="264"/>
        <w:jc w:val="center"/>
      </w:pPr>
      <w:r>
        <w:rPr>
          <w:i/>
          <w:iCs/>
          <w:color w:val="455A64"/>
          <w:sz w:val="17"/>
          <w:szCs w:val="17"/>
        </w:rPr>
        <w:t xml:space="preserve">Figure 4.1 — V-T01  System Context, target (C4 Level 1)</w:t>
      </w:r>
    </w:p>
    <w:p>
      <w:pPr>
        <w:sectPr>
          <w:headerReference w:type="default" r:id="rId20"/>
          <w:footerReference w:type="default" r:id="rId21"/>
          <w:pgSz w:w="15840" w:h="12240" w:orient="landscape"/>
          <w:pgMar w:top="1080" w:right="1180" w:bottom="1080" w:left="1080" w:header="620" w:footer="560" w:gutter="0"/>
          <w:pgNumType/>
          <w:docGrid w:linePitch="360"/>
        </w:sectPr>
      </w:pPr>
    </w:p>
    <w:p>
      <w:pPr>
        <w:spacing w:after="130" w:before="0" w:line="264"/>
      </w:pPr>
      <w:r>
        <w:rPr>
          <w:color w:val="1F2430"/>
          <w:sz w:val="20"/>
          <w:szCs w:val="20"/>
        </w:rPr>
        <w:t xml:space="preserve">The context is deliberately conservative. All ten external systems in V-01 are present here — Accenture E&amp;E, Milliman, PNM/Maximus, the managed care plans, Flexi GL, ODM Units, OAKS, Edifecs, the Deloitte/OMES hub and Progress Corticon — and the three actors are the three V-01 draws: QNXT Administrator, batch operations and the onshore Gainwell DBA. </w:t>
      </w:r>
      <w:r>
        <w:rPr>
          <w:b/>
          <w:bCs/>
          <w:color w:val="1F2430"/>
          <w:sz w:val="20"/>
          <w:szCs w:val="20"/>
        </w:rPr>
        <w:t xml:space="preserve">No external interface contract is reopened by the target design.</w:t>
      </w:r>
      <w:r>
        <w:rPr>
          <w:color w:val="1F2430"/>
          <w:sz w:val="20"/>
          <w:szCs w:val="20"/>
        </w:rPr>
        <w:t xml:space="preserve"> That is a programme-management property as much as an architectural one: renegotiating a trading-partner interface at the same time as re-platforming the runtime would put a third party into the critical path.</w:t>
      </w:r>
    </w:p>
    <w:p>
      <w:pPr>
        <w:spacing w:after="130" w:before="0" w:line="264"/>
      </w:pPr>
      <w:r>
        <w:rPr>
          <w:b/>
          <w:bCs/>
          <w:color w:val="1F2430"/>
          <w:sz w:val="20"/>
          <w:szCs w:val="20"/>
        </w:rPr>
        <w:t xml:space="preserve">QNXT sits inside the boundary, not outside it.</w:t>
      </w:r>
      <w:r>
        <w:rPr>
          <w:color w:val="1F2430"/>
          <w:sz w:val="20"/>
          <w:szCs w:val="20"/>
        </w:rPr>
        <w:t xml:space="preserve"> §1.1.1 names the QNXT / QFrame capitation agents as the system in scope, and V-01 accordingly places QNXT within the boundary with only the QNXT Administrator appearing as an actor. The target keeps that boundary: the v5.0.31.00 agents are replaced, and the QNXT stores are reached through an anti-corruption layer.</w:t>
      </w:r>
    </w:p>
    <w:p>
      <w:pPr>
        <w:spacing w:after="130" w:before="0" w:line="264"/>
      </w:pPr>
      <w:r>
        <w:rPr>
          <w:color w:val="1F2430"/>
          <w:sz w:val="20"/>
          <w:szCs w:val="20"/>
        </w:rPr>
        <w:t xml:space="preserve">One counterparty is added. PingOne becomes a context-level system because identity moves out of the individual applications and onto a single plane. This is the only new external dependency the target introduces, and §10 of the parent instrument records its tier-zero implications.</w:t>
      </w:r>
    </w:p>
    <w:p>
      <w:pPr>
        <w:spacing w:after="130" w:before="0" w:line="264"/>
      </w:pPr>
      <w:r>
        <w:rPr>
          <w:color w:val="1F2430"/>
          <w:sz w:val="20"/>
          <w:szCs w:val="20"/>
        </w:rPr>
        <w:t xml:space="preserve">One relationship stays dashed. PNM / Maximus is carried forward exactly as V-01 draws it.</w:t>
      </w:r>
    </w:p>
    <w:p>
      <w:pPr>
        <w:pStyle w:val="Heading2"/>
        <w:keepNext/>
        <w:spacing w:before="260" w:after="110" w:line="264"/>
        <w:outlineLvl w:val="1"/>
      </w:pPr>
      <w:r>
        <w:rPr>
          <w:b/>
          <w:bCs/>
          <w:color w:val="1A237E"/>
          <w:sz w:val="24"/>
          <w:szCs w:val="24"/>
        </w:rPr>
        <w:t xml:space="preserve">4.2 V-T02 — Target Container view</w:t>
      </w:r>
    </w:p>
    <w:p>
      <w:pPr>
        <w:sectPr>
          <w:headerReference w:type="default" r:id="rId7"/>
          <w:footerReference w:type="default" r:id="rId8"/>
          <w:pgSz w:w="12240" w:h="15840" w:orient="portrait"/>
          <w:pgMar w:top="1180" w:right="1080" w:bottom="1080" w:left="1080" w:header="620" w:footer="560" w:gutter="0"/>
          <w:pgNumType/>
          <w:docGrid w:linePitch="360"/>
        </w:sectPr>
      </w:pPr>
    </w:p>
    <w:p>
      <w:pPr>
        <w:spacing w:before="60" w:after="60"/>
        <w:jc w:val="center"/>
      </w:pPr>
      <w:r>
        <w:drawing>
          <wp:inline distT="0" distB="0" distL="0" distR="0">
            <wp:extent cx="6281304" cy="5943599"/>
            <wp:effectExtent l="0" t="0" r="0" b="0"/>
            <wp:docPr id="102" nam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e 2"/>
                    <pic:cNvPicPr/>
                  </pic:nvPicPr>
                  <pic:blipFill>
                    <a:blip r:embed="rId102"/>
                    <a:stretch>
                      <a:fillRect/>
                    </a:stretch>
                  </pic:blipFill>
                  <pic:spPr>
                    <a:xfrm>
                      <a:off x="0" y="0"/>
                      <a:ext cx="6281304" cy="5943599"/>
                    </a:xfrm>
                    <a:prstGeom prst="rect">
                      <a:avLst/>
                    </a:prstGeom>
                  </pic:spPr>
                </pic:pic>
              </a:graphicData>
            </a:graphic>
          </wp:inline>
        </w:drawing>
      </w:r>
    </w:p>
    <w:p>
      <w:pPr>
        <w:spacing w:after="200" w:before="0" w:line="264"/>
        <w:jc w:val="center"/>
      </w:pPr>
      <w:r>
        <w:rPr>
          <w:i/>
          <w:iCs/>
          <w:color w:val="455A64"/>
          <w:sz w:val="17"/>
          <w:szCs w:val="17"/>
        </w:rPr>
        <w:t xml:space="preserve">Figure 4.2 — V-T02  Container view, target (C4 Level 2) — the twelve containers re-platformed</w:t>
      </w:r>
    </w:p>
    <w:p>
      <w:pPr>
        <w:sectPr>
          <w:headerReference w:type="default" r:id="rId20"/>
          <w:footerReference w:type="default" r:id="rId21"/>
          <w:pgSz w:w="15840" w:h="12240" w:orient="landscape"/>
          <w:pgMar w:top="1080" w:right="1180" w:bottom="1080" w:left="1080" w:header="620" w:footer="560" w:gutter="0"/>
          <w:pgNumType/>
          <w:docGrid w:linePitch="360"/>
        </w:sectPr>
      </w:pPr>
    </w:p>
    <w:p>
      <w:pPr>
        <w:spacing w:after="130" w:before="0" w:line="264"/>
      </w:pPr>
      <w:r>
        <w:rPr>
          <w:color w:val="1F2430"/>
          <w:sz w:val="20"/>
          <w:szCs w:val="20"/>
        </w:rPr>
        <w:t xml:space="preserve">The reading order is the same as V-02: process containers on the left, data containers on the right, mechanisms named in the centre gutter.</w:t>
      </w:r>
    </w:p>
    <w:p>
      <w:pPr>
        <w:spacing w:after="130" w:before="0" w:line="264"/>
      </w:pPr>
      <w:r>
        <w:rPr>
          <w:color w:val="1F2430"/>
          <w:sz w:val="20"/>
          <w:szCs w:val="20"/>
        </w:rPr>
        <w:t xml:space="preserve">Three structural changes are worth stating in words as well as in the drawing.</w:t>
      </w:r>
    </w:p>
    <w:p>
      <w:pPr>
        <w:spacing w:after="130" w:before="0" w:line="264"/>
      </w:pPr>
      <w:r>
        <w:rPr>
          <w:b/>
          <w:bCs/>
          <w:color w:val="1F2430"/>
          <w:sz w:val="20"/>
          <w:szCs w:val="20"/>
        </w:rPr>
        <w:t xml:space="preserve">CON03 has one writer.</w:t>
      </w:r>
      <w:r>
        <w:rPr>
          <w:color w:val="1F2430"/>
          <w:sz w:val="20"/>
          <w:szCs w:val="20"/>
        </w:rPr>
        <w:t xml:space="preserve"> In the current state, </w:t>
      </w:r>
      <w:r>
        <w:rPr>
          <w:rFonts w:ascii="Consolas" w:hAnsi="Consolas" w:cs="Consolas"/>
          <w:color w:val="1C3D5A"/>
          <w:sz w:val="19"/>
          <w:szCs w:val="19"/>
        </w:rPr>
        <w:t xml:space="preserve">capvoucher</w:t>
      </w:r>
      <w:r>
        <w:rPr>
          <w:color w:val="1F2430"/>
          <w:sz w:val="20"/>
          <w:szCs w:val="20"/>
        </w:rPr>
        <w:t xml:space="preserve"> has seven write paths across four components in three repositories, and </w:t>
      </w:r>
      <w:r>
        <w:rPr>
          <w:rFonts w:ascii="Consolas" w:hAnsi="Consolas" w:cs="Consolas"/>
          <w:color w:val="1C3D5A"/>
          <w:sz w:val="19"/>
          <w:szCs w:val="19"/>
        </w:rPr>
        <w:t xml:space="preserve">PostCap_SplitPayments</w:t>
      </w:r>
      <w:r>
        <w:rPr>
          <w:color w:val="1F2430"/>
          <w:sz w:val="20"/>
          <w:szCs w:val="20"/>
        </w:rPr>
        <w:t xml:space="preserve"> mutates the primary key after the fact. In the target, the Capitation Calculation Service is the sole writer, the payment identifier is allocated once at the start of the write path, and the key is immutable thereafter. This is the change that makes CON03 a container rather than a de-facto integration bus.</w:t>
      </w:r>
    </w:p>
    <w:p>
      <w:pPr>
        <w:spacing w:after="130" w:before="0" w:line="264"/>
      </w:pPr>
      <w:r>
        <w:rPr>
          <w:b/>
          <w:bCs/>
          <w:color w:val="1F2430"/>
          <w:sz w:val="20"/>
          <w:szCs w:val="20"/>
        </w:rPr>
        <w:t xml:space="preserve">CON02 becomes an event backbone rather than a dispatch fleet.</w:t>
      </w:r>
      <w:r>
        <w:rPr>
          <w:color w:val="1F2430"/>
          <w:sz w:val="20"/>
          <w:szCs w:val="20"/>
        </w:rPr>
        <w:t xml:space="preserve"> The QFrame Hub, Execution Units and MessageStore are replaced by Kafka topics with consumer groups. The practical difference is not throughput — capitation is not a throughput-bound workload. It is that dispatch becomes observable, ordering becomes explicit, and a failed cycle becomes replayable instead of restart-and-hope.</w:t>
      </w:r>
    </w:p>
    <w:p>
      <w:pPr>
        <w:spacing w:after="130" w:before="0" w:line="264"/>
      </w:pPr>
      <w:r>
        <w:rPr>
          <w:b/>
          <w:bCs/>
          <w:color w:val="1F2430"/>
          <w:sz w:val="20"/>
          <w:szCs w:val="20"/>
        </w:rPr>
        <w:t xml:space="preserve">CON10 stops being a lock.</w:t>
      </w:r>
      <w:r>
        <w:rPr>
          <w:color w:val="1F2430"/>
          <w:sz w:val="20"/>
          <w:szCs w:val="20"/>
        </w:rPr>
        <w:t xml:space="preserve"> The </w:t>
      </w:r>
      <w:r>
        <w:rPr>
          <w:rFonts w:ascii="Consolas" w:hAnsi="Consolas" w:cs="Consolas"/>
          <w:color w:val="1C3D5A"/>
          <w:sz w:val="19"/>
          <w:szCs w:val="19"/>
        </w:rPr>
        <w:t xml:space="preserve">spQ_IDSeq</w:t>
      </w:r>
      <w:r>
        <w:rPr>
          <w:color w:val="1F2430"/>
          <w:sz w:val="20"/>
          <w:szCs w:val="20"/>
        </w:rPr>
        <w:t xml:space="preserve"> shared sequence with 101 call sites and page-lock escalation becomes a service backed by PostgreSQL sequences. Independent identifier types no longer block each other.</w:t>
      </w:r>
    </w:p>
    <w:p>
      <w:r>
        <w:br w:type="page"/>
      </w:r>
    </w:p>
    <w:p>
      <w:pPr>
        <w:pStyle w:val="Heading1"/>
        <w:keepNext/>
        <w:spacing w:before="300" w:after="140" w:line="264"/>
        <w:outlineLvl w:val="0"/>
      </w:pPr>
      <w:r>
        <w:rPr>
          <w:b/>
          <w:bCs/>
          <w:color w:val="1A237E"/>
          <w:sz w:val="30"/>
          <w:szCs w:val="30"/>
        </w:rPr>
        <w:t xml:space="preserve">5. Engineering views — C4 Levels 3 and 4</w:t>
      </w:r>
    </w:p>
    <w:p>
      <w:pPr>
        <w:pStyle w:val="Heading2"/>
        <w:keepNext/>
        <w:spacing w:before="260" w:after="110" w:line="264"/>
        <w:outlineLvl w:val="1"/>
      </w:pPr>
      <w:r>
        <w:rPr>
          <w:b/>
          <w:bCs/>
          <w:color w:val="1A237E"/>
          <w:sz w:val="24"/>
          <w:szCs w:val="24"/>
        </w:rPr>
        <w:t xml:space="preserve">5.1 V-T03 — Component view, CAP-C4-CON01</w:t>
      </w:r>
    </w:p>
    <w:p>
      <w:pPr>
        <w:sectPr>
          <w:headerReference w:type="default" r:id="rId7"/>
          <w:footerReference w:type="default" r:id="rId8"/>
          <w:pgSz w:w="12240" w:h="15840" w:orient="portrait"/>
          <w:pgMar w:top="1180" w:right="1080" w:bottom="1080" w:left="1080" w:header="620" w:footer="560" w:gutter="0"/>
          <w:pgNumType/>
          <w:docGrid w:linePitch="360"/>
        </w:sectPr>
      </w:pPr>
    </w:p>
    <w:p>
      <w:pPr>
        <w:spacing w:before="60" w:after="60"/>
        <w:jc w:val="center"/>
      </w:pPr>
      <w:r>
        <w:drawing>
          <wp:inline distT="0" distB="0" distL="0" distR="0">
            <wp:extent cx="8408019" cy="5943599"/>
            <wp:effectExtent l="0" t="0" r="0" b="0"/>
            <wp:docPr id="103" nam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e 3"/>
                    <pic:cNvPicPr/>
                  </pic:nvPicPr>
                  <pic:blipFill>
                    <a:blip r:embed="rId103"/>
                    <a:stretch>
                      <a:fillRect/>
                    </a:stretch>
                  </pic:blipFill>
                  <pic:spPr>
                    <a:xfrm>
                      <a:off x="0" y="0"/>
                      <a:ext cx="8408019" cy="5943599"/>
                    </a:xfrm>
                    <a:prstGeom prst="rect">
                      <a:avLst/>
                    </a:prstGeom>
                  </pic:spPr>
                </pic:pic>
              </a:graphicData>
            </a:graphic>
          </wp:inline>
        </w:drawing>
      </w:r>
    </w:p>
    <w:p>
      <w:pPr>
        <w:spacing w:after="200" w:before="0" w:line="264"/>
        <w:jc w:val="center"/>
      </w:pPr>
      <w:r>
        <w:rPr>
          <w:i/>
          <w:iCs/>
          <w:color w:val="455A64"/>
          <w:sz w:val="17"/>
          <w:szCs w:val="17"/>
        </w:rPr>
        <w:t xml:space="preserve">Figure 5.1 — V-T03  Component view, target (C4 Level 3) — CAP-C4-CON01 Capitation Calculation Service</w:t>
      </w:r>
    </w:p>
    <w:p>
      <w:pPr>
        <w:sectPr>
          <w:headerReference w:type="default" r:id="rId20"/>
          <w:footerReference w:type="default" r:id="rId21"/>
          <w:pgSz w:w="15840" w:h="12240" w:orient="landscape"/>
          <w:pgMar w:top="1080" w:right="1180" w:bottom="1080" w:left="1080" w:header="620" w:footer="560" w:gutter="0"/>
          <w:pgNumType/>
          <w:docGrid w:linePitch="360"/>
        </w:sectPr>
      </w:pPr>
    </w:p>
    <w:p>
      <w:pPr>
        <w:spacing w:after="130" w:before="0" w:line="264"/>
      </w:pPr>
      <w:r>
        <w:rPr>
          <w:color w:val="1F2430"/>
          <w:sz w:val="20"/>
          <w:szCs w:val="20"/>
        </w:rPr>
        <w:t xml:space="preserve">CEF-CAP-TAD-001 §1.3.4 assesses CON01 as partially decomposable: the seven method bodies are readable business logic and account for roughly 40% of the surface, but the sequencing does not transfer because ordering, message contracts, routing and recovery live in configuration and vendor binary.</w:t>
      </w:r>
    </w:p>
    <w:p>
      <w:pPr>
        <w:spacing w:after="130" w:before="0" w:line="264"/>
      </w:pPr>
      <w:r>
        <w:rPr>
          <w:color w:val="1F2430"/>
          <w:sz w:val="20"/>
          <w:szCs w:val="20"/>
        </w:rPr>
        <w:t xml:space="preserve">The target component set is drawn against exactly that finding. The seven method bodies become seven stage handlers in an explicit chain. The sequencing that today lives in QFrame configuration becomes the handler chain itself — code, in version control, with tests. The domain column has no EF Core, no HTTP and no Kafka dependency, which is what makes it unit-testable without a database. That property is the one the current estate most conspicuously lacks, and it is why §2.2.11 records static analysis reaching none of the framework behaviour.</w:t>
      </w:r>
    </w:p>
    <w:p>
      <w:pPr>
        <w:pStyle w:val="Heading2"/>
        <w:keepNext/>
        <w:spacing w:before="260" w:after="110" w:line="264"/>
        <w:outlineLvl w:val="1"/>
      </w:pPr>
      <w:r>
        <w:rPr>
          <w:b/>
          <w:bCs/>
          <w:color w:val="1A237E"/>
          <w:sz w:val="24"/>
          <w:szCs w:val="24"/>
        </w:rPr>
        <w:t xml:space="preserve">5.2 V-T04 — Code view, the voucher and payment write path</w:t>
      </w:r>
    </w:p>
    <w:p>
      <w:pPr>
        <w:sectPr>
          <w:headerReference w:type="default" r:id="rId7"/>
          <w:footerReference w:type="default" r:id="rId8"/>
          <w:pgSz w:w="12240" w:h="15840" w:orient="portrait"/>
          <w:pgMar w:top="1180" w:right="1080" w:bottom="1080" w:left="1080" w:header="620" w:footer="560" w:gutter="0"/>
          <w:pgNumType/>
          <w:docGrid w:linePitch="360"/>
        </w:sectPr>
      </w:pPr>
    </w:p>
    <w:p>
      <w:pPr>
        <w:spacing w:before="60" w:after="60"/>
        <w:jc w:val="center"/>
      </w:pPr>
      <w:r>
        <w:drawing>
          <wp:inline distT="0" distB="0" distL="0" distR="0">
            <wp:extent cx="8778240" cy="5751260"/>
            <wp:effectExtent l="0" t="0" r="0" b="0"/>
            <wp:docPr id="104" nam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ure 4"/>
                    <pic:cNvPicPr/>
                  </pic:nvPicPr>
                  <pic:blipFill>
                    <a:blip r:embed="rId104"/>
                    <a:stretch>
                      <a:fillRect/>
                    </a:stretch>
                  </pic:blipFill>
                  <pic:spPr>
                    <a:xfrm>
                      <a:off x="0" y="0"/>
                      <a:ext cx="8778240" cy="5751260"/>
                    </a:xfrm>
                    <a:prstGeom prst="rect">
                      <a:avLst/>
                    </a:prstGeom>
                  </pic:spPr>
                </pic:pic>
              </a:graphicData>
            </a:graphic>
          </wp:inline>
        </w:drawing>
      </w:r>
    </w:p>
    <w:p>
      <w:pPr>
        <w:spacing w:after="200" w:before="0" w:line="264"/>
        <w:jc w:val="center"/>
      </w:pPr>
      <w:r>
        <w:rPr>
          <w:i/>
          <w:iCs/>
          <w:color w:val="455A64"/>
          <w:sz w:val="17"/>
          <w:szCs w:val="17"/>
        </w:rPr>
        <w:t xml:space="preserve">Figure 5.2 — V-T04  Code view, target (C4 Level 4) — the voucher and payment write path</w:t>
      </w:r>
    </w:p>
    <w:p>
      <w:pPr>
        <w:sectPr>
          <w:headerReference w:type="default" r:id="rId20"/>
          <w:footerReference w:type="default" r:id="rId21"/>
          <w:pgSz w:w="15840" w:h="12240" w:orient="landscape"/>
          <w:pgMar w:top="1080" w:right="1180" w:bottom="1080" w:left="1080" w:header="620" w:footer="560" w:gutter="0"/>
          <w:pgNumType/>
          <w:docGrid w:linePitch="360"/>
        </w:sectPr>
      </w:pPr>
    </w:p>
    <w:p>
      <w:pPr>
        <w:spacing w:after="130" w:before="0" w:line="264"/>
      </w:pPr>
      <w:r>
        <w:rPr>
          <w:color w:val="1F2430"/>
          <w:sz w:val="20"/>
          <w:szCs w:val="20"/>
        </w:rPr>
        <w:t xml:space="preserve">This view is the target counterpart of §2.2.5 and it is the most consequential drawing in the pack.</w:t>
      </w:r>
    </w:p>
    <w:p>
      <w:pPr>
        <w:spacing w:after="130" w:before="0" w:line="264"/>
      </w:pPr>
      <w:r>
        <w:rPr>
          <w:color w:val="1F2430"/>
          <w:sz w:val="20"/>
          <w:szCs w:val="20"/>
        </w:rPr>
        <w:t xml:space="preserve">The current write path issues an identifier, writes, and then re-keys — </w:t>
      </w:r>
      <w:r>
        <w:rPr>
          <w:rFonts w:ascii="Consolas" w:hAnsi="Consolas" w:cs="Consolas"/>
          <w:color w:val="1C3D5A"/>
          <w:sz w:val="19"/>
          <w:szCs w:val="19"/>
        </w:rPr>
        <w:t xml:space="preserve">PostCap_SplitPayments</w:t>
      </w:r>
      <w:r>
        <w:rPr>
          <w:color w:val="1F2430"/>
          <w:sz w:val="20"/>
          <w:szCs w:val="20"/>
        </w:rPr>
        <w:t xml:space="preserve"> mutates the primary key of rows the engine already wrote, and the 820 post-process reaches back into </w:t>
      </w:r>
      <w:r>
        <w:rPr>
          <w:rFonts w:ascii="Consolas" w:hAnsi="Consolas" w:cs="Consolas"/>
          <w:color w:val="1C3D5A"/>
          <w:sz w:val="19"/>
          <w:szCs w:val="19"/>
        </w:rPr>
        <w:t xml:space="preserve">capvoucher</w:t>
      </w:r>
      <w:r>
        <w:rPr>
          <w:color w:val="1F2430"/>
          <w:sz w:val="20"/>
          <w:szCs w:val="20"/>
        </w:rPr>
        <w:t xml:space="preserve"> after export. Both are write-after-write against a shared key, and both are why §2.2.7 records four failure points that the restart chain does not clean up.</w:t>
      </w:r>
    </w:p>
    <w:p>
      <w:pPr>
        <w:spacing w:after="130" w:before="0" w:line="264"/>
      </w:pPr>
      <w:r>
        <w:rPr>
          <w:color w:val="1F2430"/>
          <w:sz w:val="20"/>
          <w:szCs w:val="20"/>
        </w:rPr>
        <w:t xml:space="preserve">The target path allocates the identifier once at step 4, commits voucher, payment and the outbox row in one PostgreSQL transaction at step 7, and publishes from the outbox at step 8. Steps 2 and 7 are what make restart safe: the idempotency guard makes a duplicate command a no-op rather than a recompute, and the single transaction makes the state change and the event atomic.</w:t>
      </w:r>
    </w:p>
    <w:p>
      <w:pPr>
        <w:spacing w:after="130" w:before="0" w:line="264"/>
      </w:pPr>
      <w:r>
        <w:rPr>
          <w:b/>
          <w:bCs/>
          <w:color w:val="1F2430"/>
          <w:sz w:val="20"/>
          <w:szCs w:val="20"/>
        </w:rPr>
        <w:t xml:space="preserve">This removes a defect class, not a list of defects.</w:t>
      </w:r>
      <w:r>
        <w:rPr>
          <w:color w:val="1F2430"/>
          <w:sz w:val="20"/>
          <w:szCs w:val="20"/>
        </w:rPr>
        <w:t xml:space="preserve"> That distinction matters for how the work is estimated. Fixing the instances would be a series of targeted changes to </w:t>
      </w:r>
      <w:r>
        <w:rPr>
          <w:rFonts w:ascii="Consolas" w:hAnsi="Consolas" w:cs="Consolas"/>
          <w:color w:val="1C3D5A"/>
          <w:sz w:val="19"/>
          <w:szCs w:val="19"/>
        </w:rPr>
        <w:t xml:space="preserve">PostCap_SplitPayments</w:t>
      </w:r>
      <w:r>
        <w:rPr>
          <w:color w:val="1F2430"/>
          <w:sz w:val="20"/>
          <w:szCs w:val="20"/>
        </w:rPr>
        <w:t xml:space="preserve"> and the 820 post-process. Removing the class means the next component that wants to write to </w:t>
      </w:r>
      <w:r>
        <w:rPr>
          <w:rFonts w:ascii="Consolas" w:hAnsi="Consolas" w:cs="Consolas"/>
          <w:color w:val="1C3D5A"/>
          <w:sz w:val="19"/>
          <w:szCs w:val="19"/>
        </w:rPr>
        <w:t xml:space="preserve">capvoucher</w:t>
      </w:r>
      <w:r>
        <w:rPr>
          <w:color w:val="1F2430"/>
          <w:sz w:val="20"/>
          <w:szCs w:val="20"/>
        </w:rPr>
        <w:t xml:space="preserve"> cannot reintroduce the problem, because there is one writer and the key is immutable.</w:t>
      </w:r>
    </w:p>
    <w:p>
      <w:r>
        <w:br w:type="page"/>
      </w:r>
    </w:p>
    <w:p>
      <w:pPr>
        <w:pStyle w:val="Heading1"/>
        <w:keepNext/>
        <w:spacing w:before="300" w:after="140" w:line="264"/>
        <w:outlineLvl w:val="0"/>
      </w:pPr>
      <w:r>
        <w:rPr>
          <w:b/>
          <w:bCs/>
          <w:color w:val="1A237E"/>
          <w:sz w:val="30"/>
          <w:szCs w:val="30"/>
        </w:rPr>
        <w:t xml:space="preserve">6. Dynamic views — C4 Level 2</w:t>
      </w:r>
    </w:p>
    <w:p>
      <w:pPr>
        <w:pStyle w:val="Heading2"/>
        <w:keepNext/>
        <w:spacing w:before="260" w:after="110" w:line="264"/>
        <w:outlineLvl w:val="1"/>
      </w:pPr>
      <w:r>
        <w:rPr>
          <w:b/>
          <w:bCs/>
          <w:color w:val="1A237E"/>
          <w:sz w:val="24"/>
          <w:szCs w:val="24"/>
        </w:rPr>
        <w:t xml:space="preserve">6.1 V-T05 — Target end-to-end capitation, stage grain</w:t>
      </w:r>
    </w:p>
    <w:p>
      <w:pPr>
        <w:sectPr>
          <w:headerReference w:type="default" r:id="rId7"/>
          <w:footerReference w:type="default" r:id="rId8"/>
          <w:pgSz w:w="12240" w:h="15840" w:orient="portrait"/>
          <w:pgMar w:top="1180" w:right="1080" w:bottom="1080" w:left="1080" w:header="620" w:footer="560" w:gutter="0"/>
          <w:pgNumType/>
          <w:docGrid w:linePitch="360"/>
        </w:sectPr>
      </w:pPr>
    </w:p>
    <w:p>
      <w:pPr>
        <w:spacing w:before="60" w:after="60"/>
        <w:jc w:val="center"/>
      </w:pPr>
      <w:r>
        <w:drawing>
          <wp:inline distT="0" distB="0" distL="0" distR="0">
            <wp:extent cx="8778240" cy="5467149"/>
            <wp:effectExtent l="0" t="0" r="0" b="0"/>
            <wp:docPr id="105" nam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ure 5"/>
                    <pic:cNvPicPr/>
                  </pic:nvPicPr>
                  <pic:blipFill>
                    <a:blip r:embed="rId105"/>
                    <a:stretch>
                      <a:fillRect/>
                    </a:stretch>
                  </pic:blipFill>
                  <pic:spPr>
                    <a:xfrm>
                      <a:off x="0" y="0"/>
                      <a:ext cx="8778240" cy="5467149"/>
                    </a:xfrm>
                    <a:prstGeom prst="rect">
                      <a:avLst/>
                    </a:prstGeom>
                  </pic:spPr>
                </pic:pic>
              </a:graphicData>
            </a:graphic>
          </wp:inline>
        </w:drawing>
      </w:r>
    </w:p>
    <w:p>
      <w:pPr>
        <w:spacing w:after="200" w:before="0" w:line="264"/>
        <w:jc w:val="center"/>
      </w:pPr>
      <w:r>
        <w:rPr>
          <w:i/>
          <w:iCs/>
          <w:color w:val="455A64"/>
          <w:sz w:val="17"/>
          <w:szCs w:val="17"/>
        </w:rPr>
        <w:t xml:space="preserve">Figure 6.1 — V-T05  End-to-end capitation, target (stage grain) — CAP-S-01 to CAP-S-15</w:t>
      </w:r>
    </w:p>
    <w:p>
      <w:pPr>
        <w:sectPr>
          <w:headerReference w:type="default" r:id="rId20"/>
          <w:footerReference w:type="default" r:id="rId21"/>
          <w:pgSz w:w="15840" w:h="12240" w:orient="landscape"/>
          <w:pgMar w:top="1080" w:right="1180" w:bottom="1080" w:left="1080" w:header="620" w:footer="560" w:gutter="0"/>
          <w:pgNumType/>
          <w:docGrid w:linePitch="360"/>
        </w:sectPr>
      </w:pPr>
    </w:p>
    <w:p>
      <w:pPr>
        <w:spacing w:after="130" w:before="0" w:line="264"/>
      </w:pPr>
      <w:r>
        <w:rPr>
          <w:b/>
          <w:bCs/>
          <w:color w:val="1F2430"/>
          <w:sz w:val="20"/>
          <w:szCs w:val="20"/>
        </w:rPr>
        <w:t xml:space="preserve">What this view fixes about the current state.</w:t>
      </w:r>
      <w:r>
        <w:rPr>
          <w:color w:val="1F2430"/>
          <w:sz w:val="20"/>
          <w:szCs w:val="20"/>
        </w:rPr>
        <w:t xml:space="preserve"> §1.2 of the source describes three loosely joined phases and then names four specific absences: no transaction joining them, no completion event, no shared correlation key, and no persisted run result. It adds that nothing turns N message completions into one run completion.</w:t>
      </w:r>
    </w:p>
    <w:p>
      <w:pPr>
        <w:spacing w:after="130" w:before="0" w:line="264"/>
      </w:pPr>
      <w:r>
        <w:rPr>
          <w:color w:val="1F2430"/>
          <w:sz w:val="20"/>
          <w:szCs w:val="20"/>
        </w:rPr>
        <w:t xml:space="preserve">All four are addressed in the target, and it is worth being precise about where:</w:t>
      </w:r>
    </w:p>
    <w:tbl>
      <w:tblPr>
        <w:tblW w:type="dxa" w:w="10080"/>
        <w:tblBorders>
          <w:top w:val="single" w:color="9FA8DA" w:sz="4"/>
          <w:left w:val="single" w:color="9FA8DA" w:sz="4"/>
          <w:bottom w:val="single" w:color="9FA8DA" w:sz="4"/>
          <w:right w:val="single" w:color="9FA8DA" w:sz="4"/>
          <w:insideH w:val="single" w:color="C5CAE9" w:sz="2"/>
          <w:insideV w:val="single" w:color="C5CAE9" w:sz="2"/>
        </w:tblBorders>
      </w:tblPr>
      <w:tblGrid>
        <w:gridCol w:w="2907"/>
        <w:gridCol w:w="7173"/>
      </w:tblGrid>
      <w:tr>
        <w:trPr>
          <w:tblHeader/>
          <w:cantSplit/>
        </w:trPr>
        <w:tc>
          <w:tcPr>
            <w:tcW w:type="dxa" w:w="2907"/>
            <w:shd w:fill="1A237E" w:color="auto" w:val="clear"/>
            <w:tcMar>
              <w:top w:type="dxa" w:w="70"/>
              <w:left w:type="dxa" w:w="100"/>
              <w:bottom w:type="dxa" w:w="70"/>
              <w:right w:type="dxa" w:w="100"/>
            </w:tcMar>
            <w:vAlign w:val="center"/>
          </w:tcPr>
          <w:p>
            <w:pPr>
              <w:spacing w:after="0" w:before="0" w:line="252"/>
            </w:pPr>
            <w:r>
              <w:rPr>
                <w:b/>
                <w:bCs/>
                <w:color w:val="FFFFFF"/>
                <w:sz w:val="17"/>
                <w:szCs w:val="17"/>
              </w:rPr>
              <w:t xml:space="preserve">Absence in current state</w:t>
            </w:r>
          </w:p>
        </w:tc>
        <w:tc>
          <w:tcPr>
            <w:tcW w:type="dxa" w:w="7173"/>
            <w:shd w:fill="1A237E" w:color="auto" w:val="clear"/>
            <w:tcMar>
              <w:top w:type="dxa" w:w="70"/>
              <w:left w:type="dxa" w:w="100"/>
              <w:bottom w:type="dxa" w:w="70"/>
              <w:right w:type="dxa" w:w="100"/>
            </w:tcMar>
            <w:vAlign w:val="center"/>
          </w:tcPr>
          <w:p>
            <w:pPr>
              <w:spacing w:after="0" w:before="0" w:line="252"/>
            </w:pPr>
            <w:r>
              <w:rPr>
                <w:b/>
                <w:bCs/>
                <w:color w:val="FFFFFF"/>
                <w:sz w:val="17"/>
                <w:szCs w:val="17"/>
              </w:rPr>
              <w:t xml:space="preserve">Where the target closes it</w:t>
            </w:r>
          </w:p>
        </w:tc>
      </w:tr>
      <w:tr>
        <w:tc>
          <w:tcPr>
            <w:tcW w:type="dxa" w:w="2907"/>
            <w:shd w:fill="F5F6FA" w:color="auto" w:val="clear"/>
            <w:tcMar>
              <w:top w:type="dxa" w:w="70"/>
              <w:left w:type="dxa" w:w="100"/>
              <w:bottom w:type="dxa" w:w="70"/>
              <w:right w:type="dxa" w:w="100"/>
            </w:tcMar>
          </w:tcPr>
          <w:p>
            <w:pPr>
              <w:spacing w:after="0" w:before="0" w:line="252"/>
            </w:pPr>
            <w:r>
              <w:rPr>
                <w:b/>
                <w:bCs/>
                <w:color w:val="1F2430"/>
                <w:sz w:val="17"/>
                <w:szCs w:val="17"/>
              </w:rPr>
              <w:t xml:space="preserve">No transaction joining the phases</w:t>
            </w:r>
          </w:p>
        </w:tc>
        <w:tc>
          <w:tcPr>
            <w:tcW w:type="dxa" w:w="7173"/>
            <w:tcMar>
              <w:top w:type="dxa" w:w="70"/>
              <w:left w:type="dxa" w:w="100"/>
              <w:bottom w:type="dxa" w:w="70"/>
              <w:right w:type="dxa" w:w="100"/>
            </w:tcMar>
          </w:tcPr>
          <w:p>
            <w:pPr>
              <w:spacing w:after="0" w:before="0" w:line="252"/>
            </w:pPr>
            <w:r>
              <w:rPr>
                <w:color w:val="1F2430"/>
                <w:sz w:val="17"/>
                <w:szCs w:val="17"/>
              </w:rPr>
              <w:t xml:space="preserve">Per-stage transactional outbox at CAP-S-09 and CAP-S-10; the phases stay separate but each hand-off is durable</w:t>
            </w:r>
          </w:p>
        </w:tc>
      </w:tr>
      <w:tr>
        <w:tc>
          <w:tcPr>
            <w:tcW w:type="dxa" w:w="2907"/>
            <w:shd w:fill="F5F6FA" w:color="auto" w:val="clear"/>
            <w:tcMar>
              <w:top w:type="dxa" w:w="70"/>
              <w:left w:type="dxa" w:w="100"/>
              <w:bottom w:type="dxa" w:w="70"/>
              <w:right w:type="dxa" w:w="100"/>
            </w:tcMar>
          </w:tcPr>
          <w:p>
            <w:pPr>
              <w:spacing w:after="0" w:before="0" w:line="252"/>
            </w:pPr>
            <w:r>
              <w:rPr>
                <w:b/>
                <w:bCs/>
                <w:color w:val="1F2430"/>
                <w:sz w:val="17"/>
                <w:szCs w:val="17"/>
              </w:rPr>
              <w:t xml:space="preserve">No completion event</w:t>
            </w:r>
          </w:p>
        </w:tc>
        <w:tc>
          <w:tcPr>
            <w:tcW w:type="dxa" w:w="7173"/>
            <w:tcMar>
              <w:top w:type="dxa" w:w="70"/>
              <w:left w:type="dxa" w:w="100"/>
              <w:bottom w:type="dxa" w:w="70"/>
              <w:right w:type="dxa" w:w="100"/>
            </w:tcMar>
          </w:tcPr>
          <w:p>
            <w:pPr>
              <w:spacing w:after="0" w:before="0" w:line="252"/>
            </w:pPr>
            <w:r>
              <w:rPr>
                <w:color w:val="1F2430"/>
                <w:sz w:val="17"/>
                <w:szCs w:val="17"/>
              </w:rPr>
              <w:t xml:space="preserve">CAP-S-10 emits a run-completion event that batch operations can actually monitor against</w:t>
            </w:r>
          </w:p>
        </w:tc>
      </w:tr>
      <w:tr>
        <w:tc>
          <w:tcPr>
            <w:tcW w:type="dxa" w:w="2907"/>
            <w:shd w:fill="F5F6FA" w:color="auto" w:val="clear"/>
            <w:tcMar>
              <w:top w:type="dxa" w:w="70"/>
              <w:left w:type="dxa" w:w="100"/>
              <w:bottom w:type="dxa" w:w="70"/>
              <w:right w:type="dxa" w:w="100"/>
            </w:tcMar>
          </w:tcPr>
          <w:p>
            <w:pPr>
              <w:spacing w:after="0" w:before="0" w:line="252"/>
            </w:pPr>
            <w:r>
              <w:rPr>
                <w:b/>
                <w:bCs/>
                <w:color w:val="1F2430"/>
                <w:sz w:val="17"/>
                <w:szCs w:val="17"/>
              </w:rPr>
              <w:t xml:space="preserve">No shared correlation key</w:t>
            </w:r>
          </w:p>
        </w:tc>
        <w:tc>
          <w:tcPr>
            <w:tcW w:type="dxa" w:w="7173"/>
            <w:tcMar>
              <w:top w:type="dxa" w:w="70"/>
              <w:left w:type="dxa" w:w="100"/>
              <w:bottom w:type="dxa" w:w="70"/>
              <w:right w:type="dxa" w:w="100"/>
            </w:tcMar>
          </w:tcPr>
          <w:p>
            <w:pPr>
              <w:spacing w:after="0" w:before="0" w:line="252"/>
            </w:pPr>
            <w:r>
              <w:rPr>
                <w:color w:val="1F2430"/>
                <w:sz w:val="17"/>
                <w:szCs w:val="17"/>
              </w:rPr>
              <w:t xml:space="preserve">A correlation id is issued at CAP-S-01 and propagates to CAP-S-15</w:t>
            </w:r>
          </w:p>
        </w:tc>
      </w:tr>
      <w:tr>
        <w:tc>
          <w:tcPr>
            <w:tcW w:type="dxa" w:w="2907"/>
            <w:shd w:fill="F5F6FA" w:color="auto" w:val="clear"/>
            <w:tcMar>
              <w:top w:type="dxa" w:w="70"/>
              <w:left w:type="dxa" w:w="100"/>
              <w:bottom w:type="dxa" w:w="70"/>
              <w:right w:type="dxa" w:w="100"/>
            </w:tcMar>
          </w:tcPr>
          <w:p>
            <w:pPr>
              <w:spacing w:after="0" w:before="0" w:line="252"/>
            </w:pPr>
            <w:r>
              <w:rPr>
                <w:b/>
                <w:bCs/>
                <w:color w:val="1F2430"/>
                <w:sz w:val="17"/>
                <w:szCs w:val="17"/>
              </w:rPr>
              <w:t xml:space="preserve">No persisted run result</w:t>
            </w:r>
          </w:p>
        </w:tc>
        <w:tc>
          <w:tcPr>
            <w:tcW w:type="dxa" w:w="7173"/>
            <w:tcMar>
              <w:top w:type="dxa" w:w="70"/>
              <w:left w:type="dxa" w:w="100"/>
              <w:bottom w:type="dxa" w:w="70"/>
              <w:right w:type="dxa" w:w="100"/>
            </w:tcMar>
          </w:tcPr>
          <w:p>
            <w:pPr>
              <w:spacing w:after="0" w:before="0" w:line="252"/>
            </w:pPr>
            <w:r>
              <w:rPr>
                <w:color w:val="1F2430"/>
                <w:sz w:val="17"/>
                <w:szCs w:val="17"/>
              </w:rPr>
              <w:t xml:space="preserve">A run-result record is written to CAP-C4-CON03</w:t>
            </w:r>
          </w:p>
        </w:tc>
      </w:tr>
    </w:tbl>
    <w:p>
      <w:pPr>
        <w:spacing w:after="140" w:before="0" w:line="264"/>
      </w:pPr>
    </w:p>
    <w:p>
      <w:pPr>
        <w:spacing w:after="130" w:before="0" w:line="264"/>
      </w:pPr>
      <w:r>
        <w:rPr>
          <w:color w:val="1F2430"/>
          <w:sz w:val="20"/>
          <w:szCs w:val="20"/>
        </w:rPr>
        <w:t xml:space="preserve">Note what the target does </w:t>
      </w:r>
      <w:r>
        <w:rPr>
          <w:b/>
          <w:bCs/>
          <w:color w:val="1F2430"/>
          <w:sz w:val="20"/>
          <w:szCs w:val="20"/>
        </w:rPr>
        <w:t xml:space="preserve">not</w:t>
      </w:r>
      <w:r>
        <w:rPr>
          <w:color w:val="1F2430"/>
          <w:sz w:val="20"/>
          <w:szCs w:val="20"/>
        </w:rPr>
        <w:t xml:space="preserve"> claim: it does not put CAP-S-01 to CAP-S-15 inside one distributed transaction. The phases remain independently schedulable. What changes is that each boundary is durable, correlated and observable.</w:t>
      </w:r>
    </w:p>
    <w:p>
      <w:pPr>
        <w:spacing w:after="130" w:before="0" w:line="264"/>
      </w:pPr>
      <w:r>
        <w:rPr>
          <w:b/>
          <w:bCs/>
          <w:color w:val="1F2430"/>
          <w:sz w:val="20"/>
          <w:szCs w:val="20"/>
        </w:rPr>
        <w:t xml:space="preserve">Two stage-level gaps carried forward.</w:t>
      </w:r>
      <w:r>
        <w:rPr>
          <w:color w:val="1F2430"/>
          <w:sz w:val="20"/>
          <w:szCs w:val="20"/>
        </w:rPr>
        <w:t xml:space="preserve"> </w:t>
      </w:r>
      <w:r>
        <w:rPr>
          <w:rFonts w:ascii="Consolas" w:hAnsi="Consolas" w:cs="Consolas"/>
          <w:color w:val="1C3D5A"/>
          <w:sz w:val="19"/>
          <w:szCs w:val="19"/>
        </w:rPr>
        <w:t xml:space="preserve">CAP-S-11</w:t>
      </w:r>
      <w:r>
        <w:rPr>
          <w:color w:val="1F2430"/>
          <w:sz w:val="20"/>
          <w:szCs w:val="20"/>
        </w:rPr>
        <w:t xml:space="preserve"> invocation is recorded as NOT ESTABLISHED in the source — no SQL Agent job, SSIS package or agent call has been evidenced. The target gives it an explicit trigger, which closes the gap by construction rather than by discovery. That is a legitimate resolution, but it should be recorded as a design decision and not mistaken for a finding.</w:t>
      </w:r>
    </w:p>
    <w:p>
      <w:pPr>
        <w:spacing w:after="130" w:before="0" w:line="264"/>
      </w:pPr>
      <w:r>
        <w:rPr>
          <w:color w:val="1F2430"/>
          <w:sz w:val="20"/>
          <w:szCs w:val="20"/>
        </w:rPr>
        <w:t xml:space="preserve">The owning repository for the MEMIM00065 / MEMSW00013 families is not established at §2.1.4. It is carried forward as O-4 at §8.1.</w:t>
      </w:r>
    </w:p>
    <w:p>
      <w:pPr>
        <w:pStyle w:val="Heading2"/>
        <w:keepNext/>
        <w:spacing w:before="260" w:after="110" w:line="264"/>
        <w:outlineLvl w:val="1"/>
      </w:pPr>
      <w:r>
        <w:rPr>
          <w:b/>
          <w:bCs/>
          <w:color w:val="1A237E"/>
          <w:sz w:val="24"/>
          <w:szCs w:val="24"/>
        </w:rPr>
        <w:t xml:space="preserve">6.2 V-T06 — Target regular monthly cycle, container grain</w:t>
      </w:r>
    </w:p>
    <w:p>
      <w:pPr>
        <w:sectPr>
          <w:headerReference w:type="default" r:id="rId7"/>
          <w:footerReference w:type="default" r:id="rId8"/>
          <w:pgSz w:w="12240" w:h="15840" w:orient="portrait"/>
          <w:pgMar w:top="1180" w:right="1080" w:bottom="1080" w:left="1080" w:header="620" w:footer="560" w:gutter="0"/>
          <w:pgNumType/>
          <w:docGrid w:linePitch="360"/>
        </w:sectPr>
      </w:pPr>
    </w:p>
    <w:p>
      <w:pPr>
        <w:spacing w:before="60" w:after="60"/>
        <w:jc w:val="center"/>
      </w:pPr>
      <w:r>
        <w:drawing>
          <wp:inline distT="0" distB="0" distL="0" distR="0">
            <wp:extent cx="8778240" cy="5802565"/>
            <wp:effectExtent l="0" t="0" r="0" b="0"/>
            <wp:docPr id="106" nam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Figure 6"/>
                    <pic:cNvPicPr/>
                  </pic:nvPicPr>
                  <pic:blipFill>
                    <a:blip r:embed="rId106"/>
                    <a:stretch>
                      <a:fillRect/>
                    </a:stretch>
                  </pic:blipFill>
                  <pic:spPr>
                    <a:xfrm>
                      <a:off x="0" y="0"/>
                      <a:ext cx="8778240" cy="5802565"/>
                    </a:xfrm>
                    <a:prstGeom prst="rect">
                      <a:avLst/>
                    </a:prstGeom>
                  </pic:spPr>
                </pic:pic>
              </a:graphicData>
            </a:graphic>
          </wp:inline>
        </w:drawing>
      </w:r>
    </w:p>
    <w:p>
      <w:pPr>
        <w:spacing w:after="200" w:before="0" w:line="264"/>
        <w:jc w:val="center"/>
      </w:pPr>
      <w:r>
        <w:rPr>
          <w:i/>
          <w:iCs/>
          <w:color w:val="455A64"/>
          <w:sz w:val="17"/>
          <w:szCs w:val="17"/>
        </w:rPr>
        <w:t xml:space="preserve">Figure 6.2 — V-T06  Regular monthly cycle, target (C4 L2 dynamic, container grain)</w:t>
      </w:r>
    </w:p>
    <w:p>
      <w:pPr>
        <w:sectPr>
          <w:headerReference w:type="default" r:id="rId20"/>
          <w:footerReference w:type="default" r:id="rId21"/>
          <w:pgSz w:w="15840" w:h="12240" w:orient="landscape"/>
          <w:pgMar w:top="1080" w:right="1180" w:bottom="1080" w:left="1080" w:header="620" w:footer="560" w:gutter="0"/>
          <w:pgNumType/>
          <w:docGrid w:linePitch="360"/>
        </w:sectPr>
      </w:pPr>
    </w:p>
    <w:p>
      <w:pPr>
        <w:spacing w:after="130" w:before="0" w:line="264"/>
      </w:pPr>
      <w:r>
        <w:rPr>
          <w:color w:val="1F2430"/>
          <w:sz w:val="20"/>
          <w:szCs w:val="20"/>
        </w:rPr>
        <w:t xml:space="preserve">This is the direct counterpart of V-03, drawn to the same construction: one numbered step per stage, over the container set from V-T02, at database grain.</w:t>
      </w:r>
    </w:p>
    <w:p>
      <w:pPr>
        <w:spacing w:after="130" w:before="0" w:line="264"/>
      </w:pPr>
      <w:r>
        <w:rPr>
          <w:color w:val="1F2430"/>
          <w:sz w:val="20"/>
          <w:szCs w:val="20"/>
        </w:rPr>
        <w:t xml:space="preserve">Two things in the sequence are worth reading closely.</w:t>
      </w:r>
    </w:p>
    <w:p>
      <w:pPr>
        <w:spacing w:after="130" w:before="0" w:line="264"/>
      </w:pPr>
      <w:r>
        <w:rPr>
          <w:b/>
          <w:bCs/>
          <w:color w:val="1F2430"/>
          <w:sz w:val="20"/>
          <w:szCs w:val="20"/>
        </w:rPr>
        <w:t xml:space="preserve">Step 11 is a run-completion event.</w:t>
      </w:r>
      <w:r>
        <w:rPr>
          <w:color w:val="1F2430"/>
          <w:sz w:val="20"/>
          <w:szCs w:val="20"/>
        </w:rPr>
        <w:t xml:space="preserve"> V-03 has no completion event to draw, because §1.2 records that nothing turns N message completions into one run completion. Its sequence therefore stops rather than closing. Here the sequence closes, and batch operations — the actor whose §1.2.2 responsibility is to monitor the cycle — finally has something to monitor against. That is the difference operators will notice first, ahead of any performance change.</w:t>
      </w:r>
    </w:p>
    <w:p>
      <w:pPr>
        <w:spacing w:after="130" w:before="0" w:line="264"/>
      </w:pPr>
      <w:r>
        <w:rPr>
          <w:b/>
          <w:bCs/>
          <w:color w:val="1F2430"/>
          <w:sz w:val="20"/>
          <w:szCs w:val="20"/>
        </w:rPr>
        <w:t xml:space="preserve">Step 12 is an explicit trigger for CAP-S-11.</w:t>
      </w:r>
      <w:r>
        <w:rPr>
          <w:color w:val="1F2430"/>
          <w:sz w:val="20"/>
          <w:szCs w:val="20"/>
        </w:rPr>
        <w:t xml:space="preserve"> The source records the PostCap invocation as NOT ESTABLISHED: no SQL Agent job, SSIS package or agent call has been evidenced. The target gives it a trigger, which closes the gap by construction. That is a legitimate resolution but it is a design decision, not a discovery, and it should be recorded as such — the current-state question of </w:t>
      </w:r>
      <w:r>
        <w:rPr>
          <w:i/>
          <w:iCs/>
          <w:color w:val="455A64"/>
          <w:sz w:val="20"/>
          <w:szCs w:val="20"/>
        </w:rPr>
        <w:t xml:space="preserve">what invokes it today</w:t>
      </w:r>
      <w:r>
        <w:rPr>
          <w:color w:val="1F2430"/>
          <w:sz w:val="20"/>
          <w:szCs w:val="20"/>
        </w:rPr>
        <w:t xml:space="preserve"> remains unanswered and still matters for the migration cutover.</w:t>
      </w:r>
    </w:p>
    <w:p>
      <w:pPr>
        <w:spacing w:after="130" w:before="0" w:line="264"/>
      </w:pPr>
      <w:r>
        <w:rPr>
          <w:color w:val="1F2430"/>
          <w:sz w:val="20"/>
          <w:szCs w:val="20"/>
        </w:rPr>
        <w:t xml:space="preserve">One vendor call stays synchronous and on the critical path: step 8, CAP-S-07, into Corticon. It is bulkheaded, timed out and given an explicit fallback, but it is not removed. The 10-dimension scoring against 10794 </w:t>
      </w:r>
      <w:r>
        <w:rPr>
          <w:rFonts w:ascii="Consolas" w:hAnsi="Consolas" w:cs="Consolas"/>
          <w:color w:val="1C3D5A"/>
          <w:sz w:val="19"/>
          <w:szCs w:val="19"/>
        </w:rPr>
        <w:t xml:space="preserve">funddetail</w:t>
      </w:r>
      <w:r>
        <w:rPr>
          <w:color w:val="1F2430"/>
          <w:sz w:val="20"/>
          <w:szCs w:val="20"/>
        </w:rPr>
        <w:t xml:space="preserve"> rows is vendor IP and is not being reimplemented.</w:t>
      </w:r>
    </w:p>
    <w:p>
      <w:r>
        <w:br w:type="page"/>
      </w:r>
    </w:p>
    <w:p>
      <w:pPr>
        <w:pStyle w:val="Heading1"/>
        <w:keepNext/>
        <w:spacing w:before="300" w:after="140" w:line="264"/>
        <w:outlineLvl w:val="0"/>
      </w:pPr>
      <w:r>
        <w:rPr>
          <w:b/>
          <w:bCs/>
          <w:color w:val="1A237E"/>
          <w:sz w:val="30"/>
          <w:szCs w:val="30"/>
        </w:rPr>
        <w:t xml:space="preserve">7. Deployment view — C4 Level 2</w:t>
      </w:r>
    </w:p>
    <w:p>
      <w:pPr>
        <w:sectPr>
          <w:headerReference w:type="default" r:id="rId7"/>
          <w:footerReference w:type="default" r:id="rId8"/>
          <w:pgSz w:w="12240" w:h="15840" w:orient="portrait"/>
          <w:pgMar w:top="1180" w:right="1080" w:bottom="1080" w:left="1080" w:header="620" w:footer="560" w:gutter="0"/>
          <w:pgNumType/>
          <w:docGrid w:linePitch="360"/>
        </w:sectPr>
      </w:pPr>
    </w:p>
    <w:p>
      <w:pPr>
        <w:spacing w:before="60" w:after="60"/>
        <w:jc w:val="center"/>
      </w:pPr>
      <w:r>
        <w:drawing>
          <wp:inline distT="0" distB="0" distL="0" distR="0">
            <wp:extent cx="8321040" cy="5943600"/>
            <wp:effectExtent l="0" t="0" r="0" b="0"/>
            <wp:docPr id="107" nam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Figure 7"/>
                    <pic:cNvPicPr/>
                  </pic:nvPicPr>
                  <pic:blipFill>
                    <a:blip r:embed="rId107"/>
                    <a:stretch>
                      <a:fillRect/>
                    </a:stretch>
                  </pic:blipFill>
                  <pic:spPr>
                    <a:xfrm>
                      <a:off x="0" y="0"/>
                      <a:ext cx="8321040" cy="5943600"/>
                    </a:xfrm>
                    <a:prstGeom prst="rect">
                      <a:avLst/>
                    </a:prstGeom>
                  </pic:spPr>
                </pic:pic>
              </a:graphicData>
            </a:graphic>
          </wp:inline>
        </w:drawing>
      </w:r>
    </w:p>
    <w:p>
      <w:pPr>
        <w:spacing w:after="200" w:before="0" w:line="264"/>
        <w:jc w:val="center"/>
      </w:pPr>
      <w:r>
        <w:rPr>
          <w:i/>
          <w:iCs/>
          <w:color w:val="455A64"/>
          <w:sz w:val="17"/>
          <w:szCs w:val="17"/>
        </w:rPr>
        <w:t xml:space="preserve">Figure 7.1 — V-T07  Deployment view, target (C4 Level 2)</w:t>
      </w:r>
    </w:p>
    <w:p>
      <w:pPr>
        <w:sectPr>
          <w:headerReference w:type="default" r:id="rId20"/>
          <w:footerReference w:type="default" r:id="rId21"/>
          <w:pgSz w:w="15840" w:h="12240" w:orient="landscape"/>
          <w:pgMar w:top="1080" w:right="1180" w:bottom="1080" w:left="1080" w:header="620" w:footer="560" w:gutter="0"/>
          <w:pgNumType/>
          <w:docGrid w:linePitch="360"/>
        </w:sectPr>
      </w:pPr>
    </w:p>
    <w:p>
      <w:pPr>
        <w:spacing w:after="130" w:before="0" w:line="264"/>
      </w:pPr>
      <w:r>
        <w:rPr>
          <w:color w:val="1F2430"/>
          <w:sz w:val="20"/>
          <w:szCs w:val="20"/>
        </w:rPr>
        <w:t xml:space="preserve">The node set derives from §1.6.1 and §1.6.2, and the first thing it establishes is that </w:t>
      </w:r>
      <w:r>
        <w:rPr>
          <w:b/>
          <w:bCs/>
          <w:color w:val="1F2430"/>
          <w:sz w:val="20"/>
          <w:szCs w:val="20"/>
        </w:rPr>
        <w:t xml:space="preserve">this is not a cloud migration</w:t>
      </w:r>
      <w:r>
        <w:rPr>
          <w:color w:val="1F2430"/>
          <w:sz w:val="20"/>
          <w:szCs w:val="20"/>
        </w:rPr>
        <w:t xml:space="preserve">. §1.6.1 records production as AWS us-east-1 across two availability zones. The platform is already there. What changes is EC2 hosts to container services in the same region — which matters for the business case, because it means the AWS line in the financial model is a re-platforming saving on licensing and right-sizing, not a lift-and-shift with all the risk that carries.</w:t>
      </w:r>
    </w:p>
    <w:p>
      <w:pPr>
        <w:spacing w:after="130" w:before="0" w:line="264"/>
      </w:pPr>
      <w:r>
        <w:rPr>
          <w:color w:val="1F2430"/>
          <w:sz w:val="20"/>
          <w:szCs w:val="20"/>
        </w:rPr>
        <w:t xml:space="preserve">Three specific pieces of current-state evidence drive this view.</w:t>
      </w:r>
    </w:p>
    <w:p>
      <w:pPr>
        <w:spacing w:after="130" w:before="0" w:line="264"/>
      </w:pPr>
      <w:r>
        <w:rPr>
          <w:b/>
          <w:bCs/>
          <w:color w:val="1F2430"/>
          <w:sz w:val="20"/>
          <w:szCs w:val="20"/>
        </w:rPr>
        <w:t xml:space="preserve">The lane split is the condition being removed, so it is not drawn.</w:t>
      </w:r>
      <w:r>
        <w:rPr>
          <w:color w:val="1F2430"/>
          <w:sz w:val="20"/>
          <w:szCs w:val="20"/>
        </w:rPr>
        <w:t xml:space="preserve"> §1.6.2 records two parallel release stacks on disjoint execution-unit fleets — 49 hosts on the R23 run of 2026-07-07, 50 on the R31 run of 2026-08-03/04, zero overlap, membership held in </w:t>
      </w:r>
      <w:r>
        <w:rPr>
          <w:rFonts w:ascii="Consolas" w:hAnsi="Consolas" w:cs="Consolas"/>
          <w:color w:val="1C3D5A"/>
          <w:sz w:val="19"/>
          <w:szCs w:val="19"/>
        </w:rPr>
        <w:t xml:space="preserve">Config.xml</w:t>
      </w:r>
      <w:r>
        <w:rPr>
          <w:color w:val="1F2430"/>
          <w:sz w:val="20"/>
          <w:szCs w:val="20"/>
        </w:rPr>
        <w:t xml:space="preserve"> on the Distribution Hub host and requiring a service restart to reload. One immutable image per container leaves no fleet membership to hold and no lane to keep alive.</w:t>
      </w:r>
    </w:p>
    <w:p>
      <w:pPr>
        <w:spacing w:after="130" w:before="0" w:line="264"/>
      </w:pPr>
      <w:r>
        <w:rPr>
          <w:b/>
          <w:bCs/>
          <w:color w:val="1F2430"/>
          <w:sz w:val="20"/>
          <w:szCs w:val="20"/>
        </w:rPr>
        <w:t xml:space="preserve">Environment parity is a hard design requirement, not a preference.</w:t>
      </w:r>
      <w:r>
        <w:rPr>
          <w:color w:val="1F2430"/>
          <w:sz w:val="20"/>
          <w:szCs w:val="20"/>
        </w:rPr>
        <w:t xml:space="preserve"> §1.6.1 records that the dispatch branch is bimodal at enrolment count 500 — production always takes the asynchronous branch, lower environments the synchronous one — so the code path carrying the restart defect is never exercised below production. That is </w:t>
      </w:r>
      <w:r>
        <w:rPr>
          <w:i/>
          <w:iCs/>
          <w:color w:val="455A64"/>
          <w:sz w:val="20"/>
          <w:szCs w:val="20"/>
        </w:rPr>
        <w:t xml:space="preserve">why</w:t>
      </w:r>
      <w:r>
        <w:rPr>
          <w:color w:val="1F2430"/>
          <w:sz w:val="20"/>
          <w:szCs w:val="20"/>
        </w:rPr>
        <w:t xml:space="preserve"> the defect survived. The target runs one code path in every environment, and that requirement traces directly to this finding.</w:t>
      </w:r>
    </w:p>
    <w:p>
      <w:pPr>
        <w:spacing w:after="130" w:before="0" w:line="264"/>
      </w:pPr>
      <w:r>
        <w:rPr>
          <w:b/>
          <w:bCs/>
          <w:color w:val="1F2430"/>
          <w:sz w:val="20"/>
          <w:szCs w:val="20"/>
        </w:rPr>
        <w:t xml:space="preserve">The IOPS ceiling is a sizing input.</w:t>
      </w:r>
      <w:r>
        <w:rPr>
          <w:color w:val="1F2430"/>
          <w:sz w:val="20"/>
          <w:szCs w:val="20"/>
        </w:rPr>
        <w:t xml:space="preserve"> </w:t>
      </w:r>
      <w:r>
        <w:rPr>
          <w:rFonts w:ascii="Consolas" w:hAnsi="Consolas" w:cs="Consolas"/>
          <w:color w:val="1C3D5A"/>
          <w:sz w:val="19"/>
          <w:szCs w:val="19"/>
        </w:rPr>
        <w:t xml:space="preserve">Plandata_Parallel</w:t>
      </w:r>
      <w:r>
        <w:rPr>
          <w:color w:val="1F2430"/>
          <w:sz w:val="20"/>
          <w:szCs w:val="20"/>
        </w:rPr>
        <w:t xml:space="preserve"> sits on an io2 volume at its 64K IOPS ceiling on </w:t>
      </w:r>
      <w:r>
        <w:rPr>
          <w:rFonts w:ascii="Consolas" w:hAnsi="Consolas" w:cs="Consolas"/>
          <w:color w:val="1C3D5A"/>
          <w:sz w:val="19"/>
          <w:szCs w:val="19"/>
        </w:rPr>
        <w:t xml:space="preserve">OH-PRD-W-DB-001</w:t>
      </w:r>
      <w:r>
        <w:rPr>
          <w:color w:val="1F2430"/>
          <w:sz w:val="20"/>
          <w:szCs w:val="20"/>
        </w:rPr>
        <w:t xml:space="preserve">. That number is the floor for sizing CAP-C4-CON03 on RDS, and it should be validated in the Phase 1 pilot rather than assumed.</w:t>
      </w:r>
    </w:p>
    <w:p>
      <w:pPr>
        <w:spacing w:after="130" w:before="0" w:line="264"/>
      </w:pPr>
      <w:r>
        <w:rPr>
          <w:color w:val="1F2430"/>
          <w:sz w:val="20"/>
          <w:szCs w:val="20"/>
        </w:rPr>
        <w:t xml:space="preserve">Two things are deliberately </w:t>
      </w:r>
      <w:r>
        <w:rPr>
          <w:b/>
          <w:bCs/>
          <w:color w:val="1F2430"/>
          <w:sz w:val="20"/>
          <w:szCs w:val="20"/>
        </w:rPr>
        <w:t xml:space="preserve">not</w:t>
      </w:r>
      <w:r>
        <w:rPr>
          <w:color w:val="1F2430"/>
          <w:sz w:val="20"/>
          <w:szCs w:val="20"/>
        </w:rPr>
        <w:t xml:space="preserve"> carried into this view. Host counts are excluded: the 357-host figure describes the estate being replaced, and §1.6.1 itself flags a CONFLICT over the size and shape of the execution grid — three numbers for three arguably different things. And ECS on Fargate is marked provisional because ADR-011 is still Proposed; if the ARB chooses EKS, the service boxes become deployments and nothing else in the view changes.</w:t>
      </w:r>
    </w:p>
    <w:p>
      <w:r>
        <w:br w:type="page"/>
      </w:r>
    </w:p>
    <w:p>
      <w:pPr>
        <w:pStyle w:val="Heading1"/>
        <w:keepNext/>
        <w:spacing w:before="300" w:after="140" w:line="264"/>
        <w:outlineLvl w:val="0"/>
      </w:pPr>
      <w:r>
        <w:rPr>
          <w:b/>
          <w:bCs/>
          <w:color w:val="1A237E"/>
          <w:sz w:val="30"/>
          <w:szCs w:val="30"/>
        </w:rPr>
        <w:t xml:space="preserve">8. Constraints and open items</w:t>
      </w:r>
    </w:p>
    <w:p>
      <w:pPr>
        <w:spacing w:after="130" w:before="0" w:line="264"/>
      </w:pPr>
      <w:r>
        <w:rPr>
          <w:color w:val="1F2430"/>
          <w:sz w:val="20"/>
          <w:szCs w:val="20"/>
        </w:rPr>
        <w:t xml:space="preserve">An architecture that closes every open question on paper is not being honest about its evidence base. Four items are carried forward unresolved, deliberately.</w:t>
      </w:r>
    </w:p>
    <w:tbl>
      <w:tblPr>
        <w:tblW w:type="dxa" w:w="10080"/>
        <w:tblBorders>
          <w:top w:val="single" w:color="9FA8DA" w:sz="4"/>
          <w:left w:val="single" w:color="9FA8DA" w:sz="4"/>
          <w:bottom w:val="single" w:color="9FA8DA" w:sz="4"/>
          <w:right w:val="single" w:color="9FA8DA" w:sz="4"/>
          <w:insideH w:val="single" w:color="C5CAE9" w:sz="2"/>
          <w:insideV w:val="single" w:color="C5CAE9" w:sz="2"/>
        </w:tblBorders>
      </w:tblPr>
      <w:tblGrid>
        <w:gridCol w:w="2580"/>
        <w:gridCol w:w="2785"/>
        <w:gridCol w:w="4715"/>
      </w:tblGrid>
      <w:tr>
        <w:trPr>
          <w:tblHeader/>
          <w:cantSplit/>
        </w:trPr>
        <w:tc>
          <w:tcPr>
            <w:tcW w:type="dxa" w:w="2580"/>
            <w:shd w:fill="1A237E" w:color="auto" w:val="clear"/>
            <w:tcMar>
              <w:top w:type="dxa" w:w="70"/>
              <w:left w:type="dxa" w:w="100"/>
              <w:bottom w:type="dxa" w:w="70"/>
              <w:right w:type="dxa" w:w="100"/>
            </w:tcMar>
            <w:vAlign w:val="center"/>
          </w:tcPr>
          <w:p>
            <w:pPr>
              <w:spacing w:after="0" w:before="0" w:line="252"/>
            </w:pPr>
            <w:r>
              <w:rPr>
                <w:b/>
                <w:bCs/>
                <w:color w:val="FFFFFF"/>
                <w:sz w:val="17"/>
                <w:szCs w:val="17"/>
              </w:rPr>
              <w:t xml:space="preserve">Carried forward</w:t>
            </w:r>
          </w:p>
        </w:tc>
        <w:tc>
          <w:tcPr>
            <w:tcW w:type="dxa" w:w="2785"/>
            <w:shd w:fill="1A237E" w:color="auto" w:val="clear"/>
            <w:tcMar>
              <w:top w:type="dxa" w:w="70"/>
              <w:left w:type="dxa" w:w="100"/>
              <w:bottom w:type="dxa" w:w="70"/>
              <w:right w:type="dxa" w:w="100"/>
            </w:tcMar>
            <w:vAlign w:val="center"/>
          </w:tcPr>
          <w:p>
            <w:pPr>
              <w:spacing w:after="0" w:before="0" w:line="252"/>
            </w:pPr>
            <w:r>
              <w:rPr>
                <w:b/>
                <w:bCs/>
                <w:color w:val="FFFFFF"/>
                <w:sz w:val="17"/>
                <w:szCs w:val="17"/>
              </w:rPr>
              <w:t xml:space="preserve">Current-state origin</w:t>
            </w:r>
          </w:p>
        </w:tc>
        <w:tc>
          <w:tcPr>
            <w:tcW w:type="dxa" w:w="4715"/>
            <w:shd w:fill="1A237E" w:color="auto" w:val="clear"/>
            <w:tcMar>
              <w:top w:type="dxa" w:w="70"/>
              <w:left w:type="dxa" w:w="100"/>
              <w:bottom w:type="dxa" w:w="70"/>
              <w:right w:type="dxa" w:w="100"/>
            </w:tcMar>
            <w:vAlign w:val="center"/>
          </w:tcPr>
          <w:p>
            <w:pPr>
              <w:spacing w:after="0" w:before="0" w:line="252"/>
            </w:pPr>
            <w:r>
              <w:rPr>
                <w:b/>
                <w:bCs/>
                <w:color w:val="FFFFFF"/>
                <w:sz w:val="17"/>
                <w:szCs w:val="17"/>
              </w:rPr>
              <w:t xml:space="preserve">Why it is not closed here</w:t>
            </w:r>
          </w:p>
        </w:tc>
      </w:tr>
      <w:tr>
        <w:tc>
          <w:tcPr>
            <w:tcW w:type="dxa" w:w="2580"/>
            <w:shd w:fill="F5F6FA" w:color="auto" w:val="clear"/>
            <w:tcMar>
              <w:top w:type="dxa" w:w="70"/>
              <w:left w:type="dxa" w:w="100"/>
              <w:bottom w:type="dxa" w:w="70"/>
              <w:right w:type="dxa" w:w="100"/>
            </w:tcMar>
          </w:tcPr>
          <w:p>
            <w:pPr>
              <w:spacing w:after="0" w:before="0" w:line="252"/>
            </w:pPr>
            <w:r>
              <w:rPr>
                <w:b/>
                <w:bCs/>
                <w:color w:val="1F2430"/>
                <w:sz w:val="17"/>
                <w:szCs w:val="17"/>
              </w:rPr>
              <w:t xml:space="preserve">The container boundary rule — instance or database grain</w:t>
            </w:r>
          </w:p>
        </w:tc>
        <w:tc>
          <w:tcPr>
            <w:tcW w:type="dxa" w:w="2785"/>
            <w:tcMar>
              <w:top w:type="dxa" w:w="70"/>
              <w:left w:type="dxa" w:w="100"/>
              <w:bottom w:type="dxa" w:w="70"/>
              <w:right w:type="dxa" w:w="100"/>
            </w:tcMar>
          </w:tcPr>
          <w:p>
            <w:pPr>
              <w:spacing w:after="0" w:before="0" w:line="252"/>
            </w:pPr>
            <w:r>
              <w:rPr>
                <w:color w:val="1F2430"/>
                <w:sz w:val="17"/>
                <w:szCs w:val="17"/>
              </w:rPr>
              <w:t xml:space="preserve">§0.7, unanswered</w:t>
            </w:r>
          </w:p>
        </w:tc>
        <w:tc>
          <w:tcPr>
            <w:tcW w:type="dxa" w:w="4715"/>
            <w:tcMar>
              <w:top w:type="dxa" w:w="70"/>
              <w:left w:type="dxa" w:w="100"/>
              <w:bottom w:type="dxa" w:w="70"/>
              <w:right w:type="dxa" w:w="100"/>
            </w:tcMar>
          </w:tcPr>
          <w:p>
            <w:pPr>
              <w:spacing w:after="0" w:before="0" w:line="252"/>
            </w:pPr>
            <w:r>
              <w:rPr>
                <w:color w:val="1F2430"/>
                <w:sz w:val="17"/>
                <w:szCs w:val="17"/>
              </w:rPr>
              <w:t xml:space="preserve">Owned by the Solution Architect. Target views inherit database grain for comparability.</w:t>
            </w:r>
          </w:p>
        </w:tc>
      </w:tr>
      <w:tr>
        <w:tc>
          <w:tcPr>
            <w:tcW w:type="dxa" w:w="2580"/>
            <w:shd w:fill="F5F6FA" w:color="auto" w:val="clear"/>
            <w:tcMar>
              <w:top w:type="dxa" w:w="70"/>
              <w:left w:type="dxa" w:w="100"/>
              <w:bottom w:type="dxa" w:w="70"/>
              <w:right w:type="dxa" w:w="100"/>
            </w:tcMar>
          </w:tcPr>
          <w:p>
            <w:pPr>
              <w:spacing w:after="0" w:before="0" w:line="252"/>
            </w:pPr>
            <w:r>
              <w:rPr>
                <w:b/>
                <w:bCs/>
                <w:color w:val="1F2430"/>
                <w:sz w:val="17"/>
                <w:szCs w:val="17"/>
              </w:rPr>
              <w:t xml:space="preserve">PNM / Maximus provider affiliation</w:t>
            </w:r>
          </w:p>
        </w:tc>
        <w:tc>
          <w:tcPr>
            <w:tcW w:type="dxa" w:w="2785"/>
            <w:tcMar>
              <w:top w:type="dxa" w:w="70"/>
              <w:left w:type="dxa" w:w="100"/>
              <w:bottom w:type="dxa" w:w="70"/>
              <w:right w:type="dxa" w:w="100"/>
            </w:tcMar>
          </w:tcPr>
          <w:p>
            <w:pPr>
              <w:spacing w:after="0" w:before="0" w:line="252"/>
            </w:pPr>
            <w:r>
              <w:rPr>
                <w:color w:val="1F2430"/>
                <w:sz w:val="17"/>
                <w:szCs w:val="17"/>
              </w:rPr>
              <w:t xml:space="preserve">V-01, drawn dashed — SME GATE</w:t>
            </w:r>
          </w:p>
        </w:tc>
        <w:tc>
          <w:tcPr>
            <w:tcW w:type="dxa" w:w="4715"/>
            <w:tcMar>
              <w:top w:type="dxa" w:w="70"/>
              <w:left w:type="dxa" w:w="100"/>
              <w:bottom w:type="dxa" w:w="70"/>
              <w:right w:type="dxa" w:w="100"/>
            </w:tcMar>
          </w:tcPr>
          <w:p>
            <w:pPr>
              <w:spacing w:after="0" w:before="0" w:line="252"/>
            </w:pPr>
            <w:r>
              <w:rPr>
                <w:color w:val="1F2430"/>
                <w:sz w:val="17"/>
                <w:szCs w:val="17"/>
              </w:rPr>
              <w:t xml:space="preserve">No interface artefact has been found. Inventing one in the target would misrepresent the evidence.</w:t>
            </w:r>
          </w:p>
        </w:tc>
      </w:tr>
      <w:tr>
        <w:tc>
          <w:tcPr>
            <w:tcW w:type="dxa" w:w="2580"/>
            <w:shd w:fill="F5F6FA" w:color="auto" w:val="clear"/>
            <w:tcMar>
              <w:top w:type="dxa" w:w="70"/>
              <w:left w:type="dxa" w:w="100"/>
              <w:bottom w:type="dxa" w:w="70"/>
              <w:right w:type="dxa" w:w="100"/>
            </w:tcMar>
          </w:tcPr>
          <w:p>
            <w:pPr>
              <w:spacing w:after="0" w:before="0" w:line="252"/>
            </w:pPr>
            <w:r>
              <w:rPr>
                <w:b/>
                <w:bCs/>
                <w:color w:val="1F2430"/>
                <w:sz w:val="17"/>
                <w:szCs w:val="17"/>
              </w:rPr>
              <w:t xml:space="preserve">CON08 Flexi and CON12 Corticon internals</w:t>
            </w:r>
          </w:p>
        </w:tc>
        <w:tc>
          <w:tcPr>
            <w:tcW w:type="dxa" w:w="2785"/>
            <w:tcMar>
              <w:top w:type="dxa" w:w="70"/>
              <w:left w:type="dxa" w:w="100"/>
              <w:bottom w:type="dxa" w:w="70"/>
              <w:right w:type="dxa" w:w="100"/>
            </w:tcMar>
          </w:tcPr>
          <w:p>
            <w:pPr>
              <w:spacing w:after="0" w:before="0" w:line="252"/>
            </w:pPr>
            <w:r>
              <w:rPr>
                <w:color w:val="1F2430"/>
                <w:sz w:val="17"/>
                <w:szCs w:val="17"/>
              </w:rPr>
              <w:t xml:space="preserve">NOT DECOMPOSED, vendor binary</w:t>
            </w:r>
          </w:p>
        </w:tc>
        <w:tc>
          <w:tcPr>
            <w:tcW w:type="dxa" w:w="4715"/>
            <w:tcMar>
              <w:top w:type="dxa" w:w="70"/>
              <w:left w:type="dxa" w:w="100"/>
              <w:bottom w:type="dxa" w:w="70"/>
              <w:right w:type="dxa" w:w="100"/>
            </w:tcMar>
          </w:tcPr>
          <w:p>
            <w:pPr>
              <w:spacing w:after="0" w:before="0" w:line="252"/>
            </w:pPr>
            <w:r>
              <w:rPr>
                <w:color w:val="1F2430"/>
                <w:sz w:val="17"/>
                <w:szCs w:val="17"/>
              </w:rPr>
              <w:t xml:space="preserve">No source, no symbols. Isolation is the only available move.</w:t>
            </w:r>
          </w:p>
        </w:tc>
      </w:tr>
      <w:tr>
        <w:tc>
          <w:tcPr>
            <w:tcW w:type="dxa" w:w="2580"/>
            <w:shd w:fill="F5F6FA" w:color="auto" w:val="clear"/>
            <w:tcMar>
              <w:top w:type="dxa" w:w="70"/>
              <w:left w:type="dxa" w:w="100"/>
              <w:bottom w:type="dxa" w:w="70"/>
              <w:right w:type="dxa" w:w="100"/>
            </w:tcMar>
          </w:tcPr>
          <w:p>
            <w:pPr>
              <w:spacing w:after="0" w:before="0" w:line="252"/>
            </w:pPr>
            <w:r>
              <w:rPr>
                <w:b/>
                <w:bCs/>
                <w:color w:val="1F2430"/>
                <w:sz w:val="17"/>
                <w:szCs w:val="17"/>
              </w:rPr>
              <w:t xml:space="preserve">CON02 emitted SQL</w:t>
            </w:r>
          </w:p>
        </w:tc>
        <w:tc>
          <w:tcPr>
            <w:tcW w:type="dxa" w:w="2785"/>
            <w:tcMar>
              <w:top w:type="dxa" w:w="70"/>
              <w:left w:type="dxa" w:w="100"/>
              <w:bottom w:type="dxa" w:w="70"/>
              <w:right w:type="dxa" w:w="100"/>
            </w:tcMar>
          </w:tcPr>
          <w:p>
            <w:pPr>
              <w:spacing w:after="0" w:before="0" w:line="252"/>
            </w:pPr>
            <w:r>
              <w:rPr>
                <w:color w:val="1F2430"/>
                <w:sz w:val="17"/>
                <w:szCs w:val="17"/>
              </w:rPr>
              <w:t xml:space="preserve">Generated at runtime by the QFrame LDL; exists nowhere as text</w:t>
            </w:r>
          </w:p>
        </w:tc>
        <w:tc>
          <w:tcPr>
            <w:tcW w:type="dxa" w:w="4715"/>
            <w:tcMar>
              <w:top w:type="dxa" w:w="70"/>
              <w:left w:type="dxa" w:w="100"/>
              <w:bottom w:type="dxa" w:w="70"/>
              <w:right w:type="dxa" w:w="100"/>
            </w:tcMar>
          </w:tcPr>
          <w:p>
            <w:pPr>
              <w:spacing w:after="0" w:before="0" w:line="252"/>
            </w:pPr>
            <w:r>
              <w:rPr>
                <w:color w:val="1F2430"/>
                <w:sz w:val="17"/>
                <w:szCs w:val="17"/>
              </w:rPr>
              <w:t xml:space="preserve">The target removes the generator rather than reverse-engineering its output. That is a rewrite, and it must be scoped as one.</w:t>
            </w:r>
          </w:p>
        </w:tc>
      </w:tr>
    </w:tbl>
    <w:p>
      <w:pPr>
        <w:spacing w:after="140" w:before="0" w:line="264"/>
      </w:pPr>
    </w:p>
    <w:p>
      <w:pPr>
        <w:spacing w:after="130" w:before="0" w:line="264"/>
      </w:pPr>
      <w:r>
        <w:rPr>
          <w:color w:val="1F2430"/>
          <w:sz w:val="20"/>
          <w:szCs w:val="20"/>
        </w:rPr>
        <w:t xml:space="preserve">The last row is the largest single risk in the programme and should be read carefully. Replacing CON02 is not a port. There is no source to port. It is a rewrite of dispatch, transaction and recovery semantics that are currently observable only by running the system — which is why the migration sequence puts a parallel run with output reconciliation ahead of any cutover on the calculation path.</w:t>
      </w:r>
    </w:p>
    <w:p>
      <w:pPr>
        <w:pStyle w:val="Heading2"/>
        <w:keepNext/>
        <w:spacing w:before="260" w:after="110" w:line="264"/>
        <w:outlineLvl w:val="1"/>
      </w:pPr>
      <w:r>
        <w:rPr>
          <w:b/>
          <w:bCs/>
          <w:color w:val="1A237E"/>
          <w:sz w:val="24"/>
          <w:szCs w:val="24"/>
        </w:rPr>
        <w:t xml:space="preserve">8.1 Open items</w:t>
      </w:r>
    </w:p>
    <w:p>
      <w:pPr>
        <w:spacing w:after="130" w:before="0" w:line="264"/>
      </w:pPr>
      <w:r>
        <w:rPr>
          <w:color w:val="1F2430"/>
          <w:sz w:val="20"/>
          <w:szCs w:val="20"/>
        </w:rPr>
        <w:t xml:space="preserve">Five items are open. Each has an owner and a consequence if it stays open.</w:t>
      </w:r>
    </w:p>
    <w:p>
      <w:pPr>
        <w:sectPr>
          <w:headerReference w:type="default" r:id="rId7"/>
          <w:footerReference w:type="default" r:id="rId8"/>
          <w:pgSz w:w="12240" w:h="15840" w:orient="portrait"/>
          <w:pgMar w:top="1180" w:right="1080" w:bottom="1080" w:left="1080" w:header="620" w:footer="560" w:gutter="0"/>
          <w:pgNumType/>
          <w:docGrid w:linePitch="360"/>
        </w:sectPr>
      </w:pPr>
    </w:p>
    <w:tbl>
      <w:tblPr>
        <w:tblW w:type="dxa" w:w="13680"/>
        <w:tblBorders>
          <w:top w:val="single" w:color="9FA8DA" w:sz="4"/>
          <w:left w:val="single" w:color="9FA8DA" w:sz="4"/>
          <w:bottom w:val="single" w:color="9FA8DA" w:sz="4"/>
          <w:right w:val="single" w:color="9FA8DA" w:sz="4"/>
          <w:insideH w:val="single" w:color="C5CAE9" w:sz="2"/>
          <w:insideV w:val="single" w:color="C5CAE9" w:sz="2"/>
        </w:tblBorders>
      </w:tblPr>
      <w:tblGrid>
        <w:gridCol w:w="700"/>
        <w:gridCol w:w="3594"/>
        <w:gridCol w:w="1855"/>
        <w:gridCol w:w="7531"/>
      </w:tblGrid>
      <w:tr>
        <w:trPr>
          <w:tblHeader/>
          <w:cantSplit/>
        </w:trPr>
        <w:tc>
          <w:tcPr>
            <w:tcW w:type="dxa" w:w="700"/>
            <w:shd w:fill="1A237E" w:color="auto" w:val="clear"/>
            <w:tcMar>
              <w:top w:type="dxa" w:w="70"/>
              <w:left w:type="dxa" w:w="100"/>
              <w:bottom w:type="dxa" w:w="70"/>
              <w:right w:type="dxa" w:w="100"/>
            </w:tcMar>
            <w:vAlign w:val="center"/>
          </w:tcPr>
          <w:p>
            <w:pPr>
              <w:spacing w:after="0" w:before="0" w:line="252"/>
            </w:pPr>
            <w:r>
              <w:rPr>
                <w:b/>
                <w:bCs/>
                <w:color w:val="FFFFFF"/>
                <w:sz w:val="17"/>
                <w:szCs w:val="17"/>
              </w:rPr>
              <w:t xml:space="preserve">#</w:t>
            </w:r>
          </w:p>
        </w:tc>
        <w:tc>
          <w:tcPr>
            <w:tcW w:type="dxa" w:w="3594"/>
            <w:shd w:fill="1A237E" w:color="auto" w:val="clear"/>
            <w:tcMar>
              <w:top w:type="dxa" w:w="70"/>
              <w:left w:type="dxa" w:w="100"/>
              <w:bottom w:type="dxa" w:w="70"/>
              <w:right w:type="dxa" w:w="100"/>
            </w:tcMar>
            <w:vAlign w:val="center"/>
          </w:tcPr>
          <w:p>
            <w:pPr>
              <w:spacing w:after="0" w:before="0" w:line="252"/>
            </w:pPr>
            <w:r>
              <w:rPr>
                <w:b/>
                <w:bCs/>
                <w:color w:val="FFFFFF"/>
                <w:sz w:val="17"/>
                <w:szCs w:val="17"/>
              </w:rPr>
              <w:t xml:space="preserve">Open item</w:t>
            </w:r>
          </w:p>
        </w:tc>
        <w:tc>
          <w:tcPr>
            <w:tcW w:type="dxa" w:w="1855"/>
            <w:shd w:fill="1A237E" w:color="auto" w:val="clear"/>
            <w:tcMar>
              <w:top w:type="dxa" w:w="70"/>
              <w:left w:type="dxa" w:w="100"/>
              <w:bottom w:type="dxa" w:w="70"/>
              <w:right w:type="dxa" w:w="100"/>
            </w:tcMar>
            <w:vAlign w:val="center"/>
          </w:tcPr>
          <w:p>
            <w:pPr>
              <w:spacing w:after="0" w:before="0" w:line="252"/>
            </w:pPr>
            <w:r>
              <w:rPr>
                <w:b/>
                <w:bCs/>
                <w:color w:val="FFFFFF"/>
                <w:sz w:val="17"/>
                <w:szCs w:val="17"/>
              </w:rPr>
              <w:t xml:space="preserve">Owner</w:t>
            </w:r>
          </w:p>
        </w:tc>
        <w:tc>
          <w:tcPr>
            <w:tcW w:type="dxa" w:w="7531"/>
            <w:shd w:fill="1A237E" w:color="auto" w:val="clear"/>
            <w:tcMar>
              <w:top w:type="dxa" w:w="70"/>
              <w:left w:type="dxa" w:w="100"/>
              <w:bottom w:type="dxa" w:w="70"/>
              <w:right w:type="dxa" w:w="100"/>
            </w:tcMar>
            <w:vAlign w:val="center"/>
          </w:tcPr>
          <w:p>
            <w:pPr>
              <w:spacing w:after="0" w:before="0" w:line="252"/>
            </w:pPr>
            <w:r>
              <w:rPr>
                <w:b/>
                <w:bCs/>
                <w:color w:val="FFFFFF"/>
                <w:sz w:val="17"/>
                <w:szCs w:val="17"/>
              </w:rPr>
              <w:t xml:space="preserve">Consequence if unresolved</w:t>
            </w:r>
          </w:p>
        </w:tc>
      </w:tr>
      <w:tr>
        <w:tc>
          <w:tcPr>
            <w:tcW w:type="dxa" w:w="700"/>
            <w:shd w:fill="F5F6FA" w:color="auto" w:val="clear"/>
            <w:tcMar>
              <w:top w:type="dxa" w:w="70"/>
              <w:left w:type="dxa" w:w="100"/>
              <w:bottom w:type="dxa" w:w="70"/>
              <w:right w:type="dxa" w:w="100"/>
            </w:tcMar>
          </w:tcPr>
          <w:p>
            <w:pPr>
              <w:spacing w:after="0" w:before="0" w:line="252"/>
            </w:pPr>
            <w:r>
              <w:rPr>
                <w:b/>
                <w:bCs/>
                <w:color w:val="1F2430"/>
                <w:sz w:val="17"/>
                <w:szCs w:val="17"/>
              </w:rPr>
              <w:t xml:space="preserve">O-1</w:t>
            </w:r>
          </w:p>
        </w:tc>
        <w:tc>
          <w:tcPr>
            <w:tcW w:type="dxa" w:w="3594"/>
            <w:tcMar>
              <w:top w:type="dxa" w:w="70"/>
              <w:left w:type="dxa" w:w="100"/>
              <w:bottom w:type="dxa" w:w="70"/>
              <w:right w:type="dxa" w:w="100"/>
            </w:tcMar>
          </w:tcPr>
          <w:p>
            <w:pPr>
              <w:spacing w:after="0" w:before="0" w:line="252"/>
            </w:pPr>
            <w:r>
              <w:rPr>
                <w:color w:val="1F2430"/>
                <w:sz w:val="17"/>
                <w:szCs w:val="17"/>
              </w:rPr>
              <w:t xml:space="preserve">The container boundary rule at §0.7 — instance grain or database grain</w:t>
            </w:r>
          </w:p>
        </w:tc>
        <w:tc>
          <w:tcPr>
            <w:tcW w:type="dxa" w:w="1855"/>
            <w:tcMar>
              <w:top w:type="dxa" w:w="70"/>
              <w:left w:type="dxa" w:w="100"/>
              <w:bottom w:type="dxa" w:w="70"/>
              <w:right w:type="dxa" w:w="100"/>
            </w:tcMar>
          </w:tcPr>
          <w:p>
            <w:pPr>
              <w:spacing w:after="0" w:before="0" w:line="252"/>
            </w:pPr>
            <w:r>
              <w:rPr>
                <w:color w:val="1F2430"/>
                <w:sz w:val="17"/>
                <w:szCs w:val="17"/>
              </w:rPr>
              <w:t xml:space="preserve">Solution Architect</w:t>
            </w:r>
          </w:p>
        </w:tc>
        <w:tc>
          <w:tcPr>
            <w:tcW w:type="dxa" w:w="7531"/>
            <w:tcMar>
              <w:top w:type="dxa" w:w="70"/>
              <w:left w:type="dxa" w:w="100"/>
              <w:bottom w:type="dxa" w:w="70"/>
              <w:right w:type="dxa" w:w="100"/>
            </w:tcMar>
          </w:tcPr>
          <w:p>
            <w:pPr>
              <w:spacing w:after="0" w:before="0" w:line="252"/>
            </w:pPr>
            <w:r>
              <w:rPr>
                <w:color w:val="1F2430"/>
                <w:sz w:val="17"/>
                <w:szCs w:val="17"/>
              </w:rPr>
              <w:t xml:space="preserve">V-T02 and V-T06 are drawn at database grain. If it settles at instance grain, CON03, CON04, CON05 and CON10 collapse and the views are redrawn. No decision in this pack depends on the outcome.</w:t>
            </w:r>
          </w:p>
        </w:tc>
      </w:tr>
      <w:tr>
        <w:tc>
          <w:tcPr>
            <w:tcW w:type="dxa" w:w="700"/>
            <w:shd w:fill="F5F6FA" w:color="auto" w:val="clear"/>
            <w:tcMar>
              <w:top w:type="dxa" w:w="70"/>
              <w:left w:type="dxa" w:w="100"/>
              <w:bottom w:type="dxa" w:w="70"/>
              <w:right w:type="dxa" w:w="100"/>
            </w:tcMar>
          </w:tcPr>
          <w:p>
            <w:pPr>
              <w:spacing w:after="0" w:before="0" w:line="252"/>
            </w:pPr>
            <w:r>
              <w:rPr>
                <w:b/>
                <w:bCs/>
                <w:color w:val="1F2430"/>
                <w:sz w:val="17"/>
                <w:szCs w:val="17"/>
              </w:rPr>
              <w:t xml:space="preserve">O-2</w:t>
            </w:r>
          </w:p>
        </w:tc>
        <w:tc>
          <w:tcPr>
            <w:tcW w:type="dxa" w:w="3594"/>
            <w:tcMar>
              <w:top w:type="dxa" w:w="70"/>
              <w:left w:type="dxa" w:w="100"/>
              <w:bottom w:type="dxa" w:w="70"/>
              <w:right w:type="dxa" w:w="100"/>
            </w:tcMar>
          </w:tcPr>
          <w:p>
            <w:pPr>
              <w:spacing w:after="0" w:before="0" w:line="252"/>
            </w:pPr>
            <w:r>
              <w:rPr>
                <w:color w:val="1F2430"/>
                <w:sz w:val="17"/>
                <w:szCs w:val="17"/>
              </w:rPr>
              <w:t xml:space="preserve">ADR-011 — ECS on Fargate or EKS</w:t>
            </w:r>
          </w:p>
        </w:tc>
        <w:tc>
          <w:tcPr>
            <w:tcW w:type="dxa" w:w="1855"/>
            <w:tcMar>
              <w:top w:type="dxa" w:w="70"/>
              <w:left w:type="dxa" w:w="100"/>
              <w:bottom w:type="dxa" w:w="70"/>
              <w:right w:type="dxa" w:w="100"/>
            </w:tcMar>
          </w:tcPr>
          <w:p>
            <w:pPr>
              <w:spacing w:after="0" w:before="0" w:line="252"/>
            </w:pPr>
            <w:r>
              <w:rPr>
                <w:color w:val="1F2430"/>
                <w:sz w:val="17"/>
                <w:szCs w:val="17"/>
              </w:rPr>
              <w:t xml:space="preserve">Platform architecture</w:t>
            </w:r>
          </w:p>
        </w:tc>
        <w:tc>
          <w:tcPr>
            <w:tcW w:type="dxa" w:w="7531"/>
            <w:tcMar>
              <w:top w:type="dxa" w:w="70"/>
              <w:left w:type="dxa" w:w="100"/>
              <w:bottom w:type="dxa" w:w="70"/>
              <w:right w:type="dxa" w:w="100"/>
            </w:tcMar>
          </w:tcPr>
          <w:p>
            <w:pPr>
              <w:spacing w:after="0" w:before="0" w:line="252"/>
            </w:pPr>
            <w:r>
              <w:rPr>
                <w:color w:val="1F2430"/>
                <w:sz w:val="17"/>
                <w:szCs w:val="17"/>
              </w:rPr>
              <w:t xml:space="preserve">V-T07 is drawn provisionally. If EKS is chosen, the service boxes become deployments and nothing else in the view changes.</w:t>
            </w:r>
          </w:p>
        </w:tc>
      </w:tr>
      <w:tr>
        <w:tc>
          <w:tcPr>
            <w:tcW w:type="dxa" w:w="700"/>
            <w:shd w:fill="F5F6FA" w:color="auto" w:val="clear"/>
            <w:tcMar>
              <w:top w:type="dxa" w:w="70"/>
              <w:left w:type="dxa" w:w="100"/>
              <w:bottom w:type="dxa" w:w="70"/>
              <w:right w:type="dxa" w:w="100"/>
            </w:tcMar>
          </w:tcPr>
          <w:p>
            <w:pPr>
              <w:spacing w:after="0" w:before="0" w:line="252"/>
            </w:pPr>
            <w:r>
              <w:rPr>
                <w:b/>
                <w:bCs/>
                <w:color w:val="1F2430"/>
                <w:sz w:val="17"/>
                <w:szCs w:val="17"/>
              </w:rPr>
              <w:t xml:space="preserve">O-3</w:t>
            </w:r>
          </w:p>
        </w:tc>
        <w:tc>
          <w:tcPr>
            <w:tcW w:type="dxa" w:w="3594"/>
            <w:tcMar>
              <w:top w:type="dxa" w:w="70"/>
              <w:left w:type="dxa" w:w="100"/>
              <w:bottom w:type="dxa" w:w="70"/>
              <w:right w:type="dxa" w:w="100"/>
            </w:tcMar>
          </w:tcPr>
          <w:p>
            <w:pPr>
              <w:spacing w:after="0" w:before="0" w:line="252"/>
            </w:pPr>
            <w:r>
              <w:rPr>
                <w:color w:val="1F2430"/>
                <w:sz w:val="17"/>
                <w:szCs w:val="17"/>
              </w:rPr>
              <w:t xml:space="preserve">What invokes the PostCap procedures at CAP-S-11 today</w:t>
            </w:r>
          </w:p>
        </w:tc>
        <w:tc>
          <w:tcPr>
            <w:tcW w:type="dxa" w:w="1855"/>
            <w:tcMar>
              <w:top w:type="dxa" w:w="70"/>
              <w:left w:type="dxa" w:w="100"/>
              <w:bottom w:type="dxa" w:w="70"/>
              <w:right w:type="dxa" w:w="100"/>
            </w:tcMar>
          </w:tcPr>
          <w:p>
            <w:pPr>
              <w:spacing w:after="0" w:before="0" w:line="252"/>
            </w:pPr>
            <w:r>
              <w:rPr>
                <w:color w:val="1F2430"/>
                <w:sz w:val="17"/>
                <w:szCs w:val="17"/>
              </w:rPr>
              <w:t xml:space="preserve">Gainwell SME</w:t>
            </w:r>
          </w:p>
        </w:tc>
        <w:tc>
          <w:tcPr>
            <w:tcW w:type="dxa" w:w="7531"/>
            <w:tcMar>
              <w:top w:type="dxa" w:w="70"/>
              <w:left w:type="dxa" w:w="100"/>
              <w:bottom w:type="dxa" w:w="70"/>
              <w:right w:type="dxa" w:w="100"/>
            </w:tcMar>
          </w:tcPr>
          <w:p>
            <w:pPr>
              <w:spacing w:after="0" w:before="0" w:line="252"/>
            </w:pPr>
            <w:r>
              <w:rPr>
                <w:color w:val="1F2430"/>
                <w:sz w:val="17"/>
                <w:szCs w:val="17"/>
              </w:rPr>
              <w:t xml:space="preserve">The target gives CAP-S-11 an explicit trigger, but the current invocation is still unevidenced and it matters for cutover sequencing.</w:t>
            </w:r>
          </w:p>
        </w:tc>
      </w:tr>
      <w:tr>
        <w:tc>
          <w:tcPr>
            <w:tcW w:type="dxa" w:w="700"/>
            <w:shd w:fill="F5F6FA" w:color="auto" w:val="clear"/>
            <w:tcMar>
              <w:top w:type="dxa" w:w="70"/>
              <w:left w:type="dxa" w:w="100"/>
              <w:bottom w:type="dxa" w:w="70"/>
              <w:right w:type="dxa" w:w="100"/>
            </w:tcMar>
          </w:tcPr>
          <w:p>
            <w:pPr>
              <w:spacing w:after="0" w:before="0" w:line="252"/>
            </w:pPr>
            <w:r>
              <w:rPr>
                <w:b/>
                <w:bCs/>
                <w:color w:val="1F2430"/>
                <w:sz w:val="17"/>
                <w:szCs w:val="17"/>
              </w:rPr>
              <w:t xml:space="preserve">O-4</w:t>
            </w:r>
          </w:p>
        </w:tc>
        <w:tc>
          <w:tcPr>
            <w:tcW w:type="dxa" w:w="3594"/>
            <w:tcMar>
              <w:top w:type="dxa" w:w="70"/>
              <w:left w:type="dxa" w:w="100"/>
              <w:bottom w:type="dxa" w:w="70"/>
              <w:right w:type="dxa" w:w="100"/>
            </w:tcMar>
          </w:tcPr>
          <w:p>
            <w:pPr>
              <w:spacing w:after="0" w:before="0" w:line="252"/>
            </w:pPr>
            <w:r>
              <w:rPr>
                <w:color w:val="1F2430"/>
                <w:sz w:val="17"/>
                <w:szCs w:val="17"/>
              </w:rPr>
              <w:t xml:space="preserve">Owning repository for the MEMIM00065 / MEMSW00013 SSIS families</w:t>
            </w:r>
          </w:p>
        </w:tc>
        <w:tc>
          <w:tcPr>
            <w:tcW w:type="dxa" w:w="1855"/>
            <w:tcMar>
              <w:top w:type="dxa" w:w="70"/>
              <w:left w:type="dxa" w:w="100"/>
              <w:bottom w:type="dxa" w:w="70"/>
              <w:right w:type="dxa" w:w="100"/>
            </w:tcMar>
          </w:tcPr>
          <w:p>
            <w:pPr>
              <w:spacing w:after="0" w:before="0" w:line="252"/>
            </w:pPr>
            <w:r>
              <w:rPr>
                <w:color w:val="1F2430"/>
                <w:sz w:val="17"/>
                <w:szCs w:val="17"/>
              </w:rPr>
              <w:t xml:space="preserve">Gainwell platform engineering</w:t>
            </w:r>
          </w:p>
        </w:tc>
        <w:tc>
          <w:tcPr>
            <w:tcW w:type="dxa" w:w="7531"/>
            <w:tcMar>
              <w:top w:type="dxa" w:w="70"/>
              <w:left w:type="dxa" w:w="100"/>
              <w:bottom w:type="dxa" w:w="70"/>
              <w:right w:type="dxa" w:w="100"/>
            </w:tcMar>
          </w:tcPr>
          <w:p>
            <w:pPr>
              <w:spacing w:after="0" w:before="0" w:line="252"/>
            </w:pPr>
            <w:r>
              <w:rPr>
                <w:color w:val="1F2430"/>
                <w:sz w:val="17"/>
                <w:szCs w:val="17"/>
              </w:rPr>
              <w:t xml:space="preserve">CAP-C4-CON05 has a target design but no confirmed owning repository, so its migration cannot yet be assigned to a team.</w:t>
            </w:r>
          </w:p>
        </w:tc>
      </w:tr>
      <w:tr>
        <w:tc>
          <w:tcPr>
            <w:tcW w:type="dxa" w:w="700"/>
            <w:shd w:fill="F5F6FA" w:color="auto" w:val="clear"/>
            <w:tcMar>
              <w:top w:type="dxa" w:w="70"/>
              <w:left w:type="dxa" w:w="100"/>
              <w:bottom w:type="dxa" w:w="70"/>
              <w:right w:type="dxa" w:w="100"/>
            </w:tcMar>
          </w:tcPr>
          <w:p>
            <w:pPr>
              <w:spacing w:after="0" w:before="0" w:line="252"/>
            </w:pPr>
            <w:r>
              <w:rPr>
                <w:b/>
                <w:bCs/>
                <w:color w:val="1F2430"/>
                <w:sz w:val="17"/>
                <w:szCs w:val="17"/>
              </w:rPr>
              <w:t xml:space="preserve">O-5</w:t>
            </w:r>
          </w:p>
        </w:tc>
        <w:tc>
          <w:tcPr>
            <w:tcW w:type="dxa" w:w="3594"/>
            <w:tcMar>
              <w:top w:type="dxa" w:w="70"/>
              <w:left w:type="dxa" w:w="100"/>
              <w:bottom w:type="dxa" w:w="70"/>
              <w:right w:type="dxa" w:w="100"/>
            </w:tcMar>
          </w:tcPr>
          <w:p>
            <w:pPr>
              <w:spacing w:after="0" w:before="0" w:line="252"/>
            </w:pPr>
            <w:r>
              <w:rPr>
                <w:color w:val="1F2430"/>
                <w:sz w:val="17"/>
                <w:szCs w:val="17"/>
              </w:rPr>
              <w:t xml:space="preserve">R23 / R31 cutover decision</w:t>
            </w:r>
          </w:p>
        </w:tc>
        <w:tc>
          <w:tcPr>
            <w:tcW w:type="dxa" w:w="1855"/>
            <w:tcMar>
              <w:top w:type="dxa" w:w="70"/>
              <w:left w:type="dxa" w:w="100"/>
              <w:bottom w:type="dxa" w:w="70"/>
              <w:right w:type="dxa" w:w="100"/>
            </w:tcMar>
          </w:tcPr>
          <w:p>
            <w:pPr>
              <w:spacing w:after="0" w:before="0" w:line="252"/>
            </w:pPr>
            <w:r>
              <w:rPr>
                <w:color w:val="1F2430"/>
                <w:sz w:val="17"/>
                <w:szCs w:val="17"/>
              </w:rPr>
              <w:t xml:space="preserve">Gainwell platform engineering</w:t>
            </w:r>
          </w:p>
        </w:tc>
        <w:tc>
          <w:tcPr>
            <w:tcW w:type="dxa" w:w="7531"/>
            <w:tcMar>
              <w:top w:type="dxa" w:w="70"/>
              <w:left w:type="dxa" w:w="100"/>
              <w:bottom w:type="dxa" w:w="70"/>
              <w:right w:type="dxa" w:w="100"/>
            </w:tcMar>
          </w:tcPr>
          <w:p>
            <w:pPr>
              <w:spacing w:after="0" w:before="0" w:line="252"/>
            </w:pPr>
            <w:r>
              <w:rPr>
                <w:rFonts w:ascii="Consolas" w:hAnsi="Consolas" w:cs="Consolas"/>
                <w:color w:val="1C3D5A"/>
                <w:sz w:val="16"/>
                <w:szCs w:val="16"/>
              </w:rPr>
              <w:t xml:space="preserve">mms-cms-cef-r23</w:t>
            </w:r>
            <w:r>
              <w:rPr>
                <w:color w:val="1F2430"/>
                <w:sz w:val="17"/>
                <w:szCs w:val="17"/>
              </w:rPr>
              <w:t xml:space="preserve"> is not present in the workspace and no target disposition is asserted for it. The target assumes one lane; that assumption needs confirming.</w:t>
            </w:r>
          </w:p>
        </w:tc>
      </w:tr>
    </w:tbl>
    <w:p>
      <w:pPr>
        <w:spacing w:after="140" w:before="0" w:line="264"/>
      </w:pPr>
    </w:p>
    <w:p>
      <w:pPr>
        <w:sectPr>
          <w:headerReference w:type="default" r:id="rId20"/>
          <w:footerReference w:type="default" r:id="rId21"/>
          <w:pgSz w:w="15840" w:h="12240" w:orient="landscape"/>
          <w:pgMar w:top="1080" w:right="1180" w:bottom="1080" w:left="1080" w:header="620" w:footer="560" w:gutter="0"/>
          <w:pgNumType/>
          <w:docGrid w:linePitch="360"/>
        </w:sectPr>
      </w:pPr>
    </w:p>
    <w:p>
      <w:pPr>
        <w:spacing w:after="130" w:before="0" w:line="264"/>
      </w:pPr>
      <w:r>
        <w:rPr>
          <w:color w:val="1F2430"/>
          <w:sz w:val="20"/>
          <w:szCs w:val="20"/>
        </w:rPr>
        <w:t xml:space="preserve">Two boundaries are permanent rather than open. </w:t>
      </w:r>
      <w:r>
        <w:rPr>
          <w:rFonts w:ascii="Consolas" w:hAnsi="Consolas" w:cs="Consolas"/>
          <w:color w:val="1C3D5A"/>
          <w:sz w:val="19"/>
          <w:szCs w:val="19"/>
        </w:rPr>
        <w:t xml:space="preserve">CAP-C4-CON08</w:t>
      </w:r>
      <w:r>
        <w:rPr>
          <w:color w:val="1F2430"/>
          <w:sz w:val="20"/>
          <w:szCs w:val="20"/>
        </w:rPr>
        <w:t xml:space="preserve"> Flexi and </w:t>
      </w:r>
      <w:r>
        <w:rPr>
          <w:rFonts w:ascii="Consolas" w:hAnsi="Consolas" w:cs="Consolas"/>
          <w:color w:val="1C3D5A"/>
          <w:sz w:val="19"/>
          <w:szCs w:val="19"/>
        </w:rPr>
        <w:t xml:space="preserve">CAP-C4-CON12</w:t>
      </w:r>
      <w:r>
        <w:rPr>
          <w:color w:val="1F2430"/>
          <w:sz w:val="20"/>
          <w:szCs w:val="20"/>
        </w:rPr>
        <w:t xml:space="preserve"> Corticon are third-party engines with no available source or symbols. The target isolates them behind contracts; it does not decompose them.</w:t>
      </w:r>
    </w:p>
    <w:p>
      <w:pPr>
        <w:spacing w:after="130" w:before="0" w:line="264"/>
      </w:pPr>
      <w:r>
        <w:rPr>
          <w:color w:val="1F2430"/>
          <w:sz w:val="20"/>
          <w:szCs w:val="20"/>
        </w:rPr>
        <w:t xml:space="preserve">One structural point about maintenance. §0.7 of the parent instrument states that the ArchiMate model in its Appendix B is authoritative and that C4 views are derived from it, and warns that maintaining both by hand means they disagree within one revision. Appendix B.1 is currently unpopulated, so these views are hand-maintained. If the model is populated later, these views should be regenerated from it rather than edited alongside it.</w:t>
      </w:r>
    </w:p>
    <w:p>
      <w:r>
        <w:br w:type="page"/>
      </w:r>
    </w:p>
    <w:p>
      <w:pPr>
        <w:pStyle w:val="Heading1"/>
        <w:keepNext/>
        <w:spacing w:before="300" w:after="140" w:line="264"/>
        <w:outlineLvl w:val="0"/>
      </w:pPr>
      <w:r>
        <w:rPr>
          <w:b/>
          <w:bCs/>
          <w:color w:val="1A237E"/>
          <w:sz w:val="30"/>
          <w:szCs w:val="30"/>
        </w:rPr>
        <w:t xml:space="preserve">9. Consistency check</w:t>
      </w:r>
    </w:p>
    <w:p>
      <w:pPr>
        <w:spacing w:after="130" w:before="0" w:line="264"/>
      </w:pPr>
      <w:r>
        <w:rPr>
          <w:color w:val="1F2430"/>
          <w:sz w:val="20"/>
          <w:szCs w:val="20"/>
        </w:rPr>
        <w:t xml:space="preserve">The check CEF-CAP-TAD-001 applies at §1.8.4 is applied here in the same form.</w:t>
      </w:r>
    </w:p>
    <w:tbl>
      <w:tblPr>
        <w:tblW w:type="dxa" w:w="10080"/>
        <w:tblBorders>
          <w:top w:val="single" w:color="9FA8DA" w:sz="4"/>
          <w:left w:val="single" w:color="9FA8DA" w:sz="4"/>
          <w:bottom w:val="single" w:color="9FA8DA" w:sz="4"/>
          <w:right w:val="single" w:color="9FA8DA" w:sz="4"/>
          <w:insideH w:val="single" w:color="C5CAE9" w:sz="2"/>
          <w:insideV w:val="single" w:color="C5CAE9" w:sz="2"/>
        </w:tblBorders>
      </w:tblPr>
      <w:tblGrid>
        <w:gridCol w:w="5173"/>
        <w:gridCol w:w="4907"/>
      </w:tblGrid>
      <w:tr>
        <w:trPr>
          <w:tblHeader/>
          <w:cantSplit/>
        </w:trPr>
        <w:tc>
          <w:tcPr>
            <w:tcW w:type="dxa" w:w="5173"/>
            <w:shd w:fill="1A237E" w:color="auto" w:val="clear"/>
            <w:tcMar>
              <w:top w:type="dxa" w:w="70"/>
              <w:left w:type="dxa" w:w="100"/>
              <w:bottom w:type="dxa" w:w="70"/>
              <w:right w:type="dxa" w:w="100"/>
            </w:tcMar>
            <w:vAlign w:val="center"/>
          </w:tcPr>
          <w:p>
            <w:pPr>
              <w:spacing w:after="0" w:before="0" w:line="252"/>
            </w:pPr>
            <w:r>
              <w:rPr>
                <w:b/>
                <w:bCs/>
                <w:color w:val="FFFFFF"/>
                <w:sz w:val="17"/>
                <w:szCs w:val="17"/>
              </w:rPr>
              <w:t xml:space="preserve">Check</w:t>
            </w:r>
          </w:p>
        </w:tc>
        <w:tc>
          <w:tcPr>
            <w:tcW w:type="dxa" w:w="4907"/>
            <w:shd w:fill="1A237E" w:color="auto" w:val="clear"/>
            <w:tcMar>
              <w:top w:type="dxa" w:w="70"/>
              <w:left w:type="dxa" w:w="100"/>
              <w:bottom w:type="dxa" w:w="70"/>
              <w:right w:type="dxa" w:w="100"/>
            </w:tcMar>
            <w:vAlign w:val="center"/>
          </w:tcPr>
          <w:p>
            <w:pPr>
              <w:spacing w:after="0" w:before="0" w:line="252"/>
            </w:pPr>
            <w:r>
              <w:rPr>
                <w:b/>
                <w:bCs/>
                <w:color w:val="FFFFFF"/>
                <w:sz w:val="17"/>
                <w:szCs w:val="17"/>
              </w:rPr>
              <w:t xml:space="preserve">Result</w:t>
            </w:r>
          </w:p>
        </w:tc>
      </w:tr>
      <w:tr>
        <w:tc>
          <w:tcPr>
            <w:tcW w:type="dxa" w:w="5173"/>
            <w:shd w:fill="F5F6FA" w:color="auto" w:val="clear"/>
            <w:tcMar>
              <w:top w:type="dxa" w:w="70"/>
              <w:left w:type="dxa" w:w="100"/>
              <w:bottom w:type="dxa" w:w="70"/>
              <w:right w:type="dxa" w:w="100"/>
            </w:tcMar>
          </w:tcPr>
          <w:p>
            <w:pPr>
              <w:spacing w:after="0" w:before="0" w:line="252"/>
            </w:pPr>
            <w:r>
              <w:rPr>
                <w:b/>
                <w:bCs/>
                <w:color w:val="1F2430"/>
                <w:sz w:val="17"/>
                <w:szCs w:val="17"/>
              </w:rPr>
              <w:t xml:space="preserve">Every container in V-T02 traces to a container in V-02 through its CAP-C4-CON identifier</w:t>
            </w:r>
          </w:p>
        </w:tc>
        <w:tc>
          <w:tcPr>
            <w:tcW w:type="dxa" w:w="4907"/>
            <w:tcMar>
              <w:top w:type="dxa" w:w="70"/>
              <w:left w:type="dxa" w:w="100"/>
              <w:bottom w:type="dxa" w:w="70"/>
              <w:right w:type="dxa" w:w="100"/>
            </w:tcMar>
          </w:tcPr>
          <w:p>
            <w:pPr>
              <w:spacing w:after="0" w:before="0" w:line="252"/>
            </w:pPr>
            <w:r>
              <w:rPr>
                <w:color w:val="1F2430"/>
                <w:sz w:val="17"/>
                <w:szCs w:val="17"/>
              </w:rPr>
              <w:t xml:space="preserve">Pass — twelve to twelve</w:t>
            </w:r>
          </w:p>
        </w:tc>
      </w:tr>
      <w:tr>
        <w:tc>
          <w:tcPr>
            <w:tcW w:type="dxa" w:w="5173"/>
            <w:shd w:fill="F5F6FA" w:color="auto" w:val="clear"/>
            <w:tcMar>
              <w:top w:type="dxa" w:w="70"/>
              <w:left w:type="dxa" w:w="100"/>
              <w:bottom w:type="dxa" w:w="70"/>
              <w:right w:type="dxa" w:w="100"/>
            </w:tcMar>
          </w:tcPr>
          <w:p>
            <w:pPr>
              <w:spacing w:after="0" w:before="0" w:line="252"/>
            </w:pPr>
            <w:r>
              <w:rPr>
                <w:b/>
                <w:bCs/>
                <w:color w:val="1F2430"/>
                <w:sz w:val="17"/>
                <w:szCs w:val="17"/>
              </w:rPr>
              <w:t xml:space="preserve">Every container in V-T02 names an owning repository from the §2.1.4 inventory</w:t>
            </w:r>
          </w:p>
        </w:tc>
        <w:tc>
          <w:tcPr>
            <w:tcW w:type="dxa" w:w="4907"/>
            <w:tcMar>
              <w:top w:type="dxa" w:w="70"/>
              <w:left w:type="dxa" w:w="100"/>
              <w:bottom w:type="dxa" w:w="70"/>
              <w:right w:type="dxa" w:w="100"/>
            </w:tcMar>
          </w:tcPr>
          <w:p>
            <w:pPr>
              <w:spacing w:after="0" w:before="0" w:line="252"/>
            </w:pPr>
            <w:r>
              <w:rPr>
                <w:color w:val="1F2430"/>
                <w:sz w:val="17"/>
                <w:szCs w:val="17"/>
              </w:rPr>
              <w:t xml:space="preserve">Pass</w:t>
            </w:r>
          </w:p>
        </w:tc>
      </w:tr>
      <w:tr>
        <w:tc>
          <w:tcPr>
            <w:tcW w:type="dxa" w:w="5173"/>
            <w:shd w:fill="F5F6FA" w:color="auto" w:val="clear"/>
            <w:tcMar>
              <w:top w:type="dxa" w:w="70"/>
              <w:left w:type="dxa" w:w="100"/>
              <w:bottom w:type="dxa" w:w="70"/>
              <w:right w:type="dxa" w:w="100"/>
            </w:tcMar>
          </w:tcPr>
          <w:p>
            <w:pPr>
              <w:spacing w:after="0" w:before="0" w:line="252"/>
            </w:pPr>
            <w:r>
              <w:rPr>
                <w:b/>
                <w:bCs/>
                <w:color w:val="1F2430"/>
                <w:sz w:val="17"/>
                <w:szCs w:val="17"/>
              </w:rPr>
              <w:t xml:space="preserve">Every relationship crossing a process boundary names its mechanism</w:t>
            </w:r>
          </w:p>
        </w:tc>
        <w:tc>
          <w:tcPr>
            <w:tcW w:type="dxa" w:w="4907"/>
            <w:tcMar>
              <w:top w:type="dxa" w:w="70"/>
              <w:left w:type="dxa" w:w="100"/>
              <w:bottom w:type="dxa" w:w="70"/>
              <w:right w:type="dxa" w:w="100"/>
            </w:tcMar>
          </w:tcPr>
          <w:p>
            <w:pPr>
              <w:spacing w:after="0" w:before="0" w:line="252"/>
            </w:pPr>
            <w:r>
              <w:rPr>
                <w:color w:val="1F2430"/>
                <w:sz w:val="17"/>
                <w:szCs w:val="17"/>
              </w:rPr>
              <w:t xml:space="preserve">Pass</w:t>
            </w:r>
          </w:p>
        </w:tc>
      </w:tr>
      <w:tr>
        <w:tc>
          <w:tcPr>
            <w:tcW w:type="dxa" w:w="5173"/>
            <w:shd w:fill="F5F6FA" w:color="auto" w:val="clear"/>
            <w:tcMar>
              <w:top w:type="dxa" w:w="70"/>
              <w:left w:type="dxa" w:w="100"/>
              <w:bottom w:type="dxa" w:w="70"/>
              <w:right w:type="dxa" w:w="100"/>
            </w:tcMar>
          </w:tcPr>
          <w:p>
            <w:pPr>
              <w:spacing w:after="0" w:before="0" w:line="252"/>
            </w:pPr>
            <w:r>
              <w:rPr>
                <w:b/>
                <w:bCs/>
                <w:color w:val="1F2430"/>
                <w:sz w:val="17"/>
                <w:szCs w:val="17"/>
              </w:rPr>
              <w:t xml:space="preserve">Every external system in V-T01 appears in V-01</w:t>
            </w:r>
          </w:p>
        </w:tc>
        <w:tc>
          <w:tcPr>
            <w:tcW w:type="dxa" w:w="4907"/>
            <w:tcMar>
              <w:top w:type="dxa" w:w="70"/>
              <w:left w:type="dxa" w:w="100"/>
              <w:bottom w:type="dxa" w:w="70"/>
              <w:right w:type="dxa" w:w="100"/>
            </w:tcMar>
          </w:tcPr>
          <w:p>
            <w:pPr>
              <w:spacing w:after="0" w:before="0" w:line="252"/>
            </w:pPr>
            <w:r>
              <w:rPr>
                <w:color w:val="1F2430"/>
                <w:sz w:val="17"/>
                <w:szCs w:val="17"/>
              </w:rPr>
              <w:t xml:space="preserve">Pass, plus PingOne, which is declared as the single addition</w:t>
            </w:r>
          </w:p>
        </w:tc>
      </w:tr>
      <w:tr>
        <w:tc>
          <w:tcPr>
            <w:tcW w:type="dxa" w:w="5173"/>
            <w:shd w:fill="F5F6FA" w:color="auto" w:val="clear"/>
            <w:tcMar>
              <w:top w:type="dxa" w:w="70"/>
              <w:left w:type="dxa" w:w="100"/>
              <w:bottom w:type="dxa" w:w="70"/>
              <w:right w:type="dxa" w:w="100"/>
            </w:tcMar>
          </w:tcPr>
          <w:p>
            <w:pPr>
              <w:spacing w:after="0" w:before="0" w:line="252"/>
            </w:pPr>
            <w:r>
              <w:rPr>
                <w:b/>
                <w:bCs/>
                <w:color w:val="1F2430"/>
                <w:sz w:val="17"/>
                <w:szCs w:val="17"/>
              </w:rPr>
              <w:t xml:space="preserve">Every current-state coupling finding at §1.3.4 has a named target disposition</w:t>
            </w:r>
          </w:p>
        </w:tc>
        <w:tc>
          <w:tcPr>
            <w:tcW w:type="dxa" w:w="4907"/>
            <w:tcMar>
              <w:top w:type="dxa" w:w="70"/>
              <w:left w:type="dxa" w:w="100"/>
              <w:bottom w:type="dxa" w:w="70"/>
              <w:right w:type="dxa" w:w="100"/>
            </w:tcMar>
          </w:tcPr>
          <w:p>
            <w:pPr>
              <w:spacing w:after="0" w:before="0" w:line="252"/>
            </w:pPr>
            <w:r>
              <w:rPr>
                <w:color w:val="1F2430"/>
                <w:sz w:val="17"/>
                <w:szCs w:val="17"/>
              </w:rPr>
              <w:t xml:space="preserve">Pass — see §3.1</w:t>
            </w:r>
          </w:p>
        </w:tc>
      </w:tr>
      <w:tr>
        <w:tc>
          <w:tcPr>
            <w:tcW w:type="dxa" w:w="5173"/>
            <w:shd w:fill="F5F6FA" w:color="auto" w:val="clear"/>
            <w:tcMar>
              <w:top w:type="dxa" w:w="70"/>
              <w:left w:type="dxa" w:w="100"/>
              <w:bottom w:type="dxa" w:w="70"/>
              <w:right w:type="dxa" w:w="100"/>
            </w:tcMar>
          </w:tcPr>
          <w:p>
            <w:pPr>
              <w:spacing w:after="0" w:before="0" w:line="252"/>
            </w:pPr>
            <w:r>
              <w:rPr>
                <w:b/>
                <w:bCs/>
                <w:color w:val="1F2430"/>
                <w:sz w:val="17"/>
                <w:szCs w:val="17"/>
              </w:rPr>
              <w:t xml:space="preserve">Views are drawn at a single, declared grain</w:t>
            </w:r>
          </w:p>
        </w:tc>
        <w:tc>
          <w:tcPr>
            <w:tcW w:type="dxa" w:w="4907"/>
            <w:tcMar>
              <w:top w:type="dxa" w:w="70"/>
              <w:left w:type="dxa" w:w="100"/>
              <w:bottom w:type="dxa" w:w="70"/>
              <w:right w:type="dxa" w:w="100"/>
            </w:tcMar>
          </w:tcPr>
          <w:p>
            <w:pPr>
              <w:spacing w:after="0" w:before="0" w:line="252"/>
            </w:pPr>
            <w:r>
              <w:rPr>
                <w:color w:val="1F2430"/>
                <w:sz w:val="17"/>
                <w:szCs w:val="17"/>
              </w:rPr>
              <w:t xml:space="preserve">Pass — database grain, inherited from V-02, gap declared at §2.2</w:t>
            </w:r>
          </w:p>
        </w:tc>
      </w:tr>
      <w:tr>
        <w:tc>
          <w:tcPr>
            <w:tcW w:type="dxa" w:w="5173"/>
            <w:shd w:fill="F5F6FA" w:color="auto" w:val="clear"/>
            <w:tcMar>
              <w:top w:type="dxa" w:w="70"/>
              <w:left w:type="dxa" w:w="100"/>
              <w:bottom w:type="dxa" w:w="70"/>
              <w:right w:type="dxa" w:w="100"/>
            </w:tcMar>
          </w:tcPr>
          <w:p>
            <w:pPr>
              <w:spacing w:after="0" w:before="0" w:line="252"/>
            </w:pPr>
            <w:r>
              <w:rPr>
                <w:b/>
                <w:bCs/>
                <w:color w:val="1F2430"/>
                <w:sz w:val="17"/>
                <w:szCs w:val="17"/>
              </w:rPr>
              <w:t xml:space="preserve">A dynamic view is drawn</w:t>
            </w:r>
          </w:p>
        </w:tc>
        <w:tc>
          <w:tcPr>
            <w:tcW w:type="dxa" w:w="4907"/>
            <w:tcMar>
              <w:top w:type="dxa" w:w="70"/>
              <w:left w:type="dxa" w:w="100"/>
              <w:bottom w:type="dxa" w:w="70"/>
              <w:right w:type="dxa" w:w="100"/>
            </w:tcMar>
          </w:tcPr>
          <w:p>
            <w:pPr>
              <w:spacing w:after="0" w:before="0" w:line="252"/>
            </w:pPr>
            <w:r>
              <w:rPr>
                <w:color w:val="1F2430"/>
                <w:sz w:val="17"/>
                <w:szCs w:val="17"/>
              </w:rPr>
              <w:t xml:space="preserve">Pass — V-T05 at stage grain (Figure 6.1) and V-T06 at container grain (Figure 6.2)</w:t>
            </w:r>
          </w:p>
        </w:tc>
      </w:tr>
      <w:tr>
        <w:tc>
          <w:tcPr>
            <w:tcW w:type="dxa" w:w="5173"/>
            <w:shd w:fill="F5F6FA" w:color="auto" w:val="clear"/>
            <w:tcMar>
              <w:top w:type="dxa" w:w="70"/>
              <w:left w:type="dxa" w:w="100"/>
              <w:bottom w:type="dxa" w:w="70"/>
              <w:right w:type="dxa" w:w="100"/>
            </w:tcMar>
          </w:tcPr>
          <w:p>
            <w:pPr>
              <w:spacing w:after="0" w:before="0" w:line="252"/>
            </w:pPr>
            <w:r>
              <w:rPr>
                <w:b/>
                <w:bCs/>
                <w:color w:val="1F2430"/>
                <w:sz w:val="17"/>
                <w:szCs w:val="17"/>
              </w:rPr>
              <w:t xml:space="preserve">Deployment view is drawn</w:t>
            </w:r>
          </w:p>
        </w:tc>
        <w:tc>
          <w:tcPr>
            <w:tcW w:type="dxa" w:w="4907"/>
            <w:tcMar>
              <w:top w:type="dxa" w:w="70"/>
              <w:left w:type="dxa" w:w="100"/>
              <w:bottom w:type="dxa" w:w="70"/>
              <w:right w:type="dxa" w:w="100"/>
            </w:tcMar>
          </w:tcPr>
          <w:p>
            <w:pPr>
              <w:spacing w:after="0" w:before="0" w:line="252"/>
            </w:pPr>
            <w:r>
              <w:rPr>
                <w:color w:val="1F2430"/>
                <w:sz w:val="17"/>
                <w:szCs w:val="17"/>
              </w:rPr>
              <w:t xml:space="preserve">Pass — V-T07, Figure 7.1</w:t>
            </w:r>
          </w:p>
        </w:tc>
      </w:tr>
      <w:tr>
        <w:tc>
          <w:tcPr>
            <w:tcW w:type="dxa" w:w="5173"/>
            <w:shd w:fill="F5F6FA" w:color="auto" w:val="clear"/>
            <w:tcMar>
              <w:top w:type="dxa" w:w="70"/>
              <w:left w:type="dxa" w:w="100"/>
              <w:bottom w:type="dxa" w:w="70"/>
              <w:right w:type="dxa" w:w="100"/>
            </w:tcMar>
          </w:tcPr>
          <w:p>
            <w:pPr>
              <w:spacing w:after="0" w:before="0" w:line="252"/>
            </w:pPr>
            <w:r>
              <w:rPr>
                <w:b/>
                <w:bCs/>
                <w:color w:val="1F2430"/>
                <w:sz w:val="17"/>
                <w:szCs w:val="17"/>
              </w:rPr>
              <w:t xml:space="preserve">Every element traces to a statement in the parent instrument</w:t>
            </w:r>
          </w:p>
        </w:tc>
        <w:tc>
          <w:tcPr>
            <w:tcW w:type="dxa" w:w="4907"/>
            <w:tcMar>
              <w:top w:type="dxa" w:w="70"/>
              <w:left w:type="dxa" w:w="100"/>
              <w:bottom w:type="dxa" w:w="70"/>
              <w:right w:type="dxa" w:w="100"/>
            </w:tcMar>
          </w:tcPr>
          <w:p>
            <w:pPr>
              <w:spacing w:after="0" w:before="0" w:line="252"/>
            </w:pPr>
            <w:r>
              <w:rPr>
                <w:color w:val="1F2430"/>
                <w:sz w:val="17"/>
                <w:szCs w:val="17"/>
              </w:rPr>
              <w:t xml:space="preserve">Pass</w:t>
            </w:r>
          </w:p>
        </w:tc>
      </w:tr>
    </w:tbl>
    <w:p>
      <w:pPr>
        <w:spacing w:after="140" w:before="0" w:line="264"/>
      </w:pPr>
    </w:p>
    <w:p>
      <w:pPr>
        <w:spacing w:after="130" w:before="0" w:line="264"/>
      </w:pPr>
      <w:r>
        <w:rPr>
          <w:color w:val="1F2430"/>
          <w:sz w:val="20"/>
          <w:szCs w:val="20"/>
        </w:rPr>
        <w:t xml:space="preserve">All nine pass. The target view set is now complete at every C4 level the source models: L1, L2 container, L2 dynamic at two grains, L2 deployment, L3 and L4.</w:t>
      </w:r>
    </w:p>
    <w:p>
      <w:r>
        <w:br w:type="page"/>
      </w:r>
    </w:p>
    <w:p>
      <w:pPr>
        <w:pStyle w:val="Heading1"/>
        <w:keepNext/>
        <w:spacing w:before="300" w:after="140" w:line="264"/>
        <w:outlineLvl w:val="0"/>
      </w:pPr>
      <w:r>
        <w:rPr>
          <w:b/>
          <w:bCs/>
          <w:color w:val="1A237E"/>
          <w:sz w:val="30"/>
          <w:szCs w:val="30"/>
        </w:rPr>
        <w:t xml:space="preserve">10. Actions</w:t>
      </w:r>
    </w:p>
    <w:tbl>
      <w:tblPr>
        <w:tblW w:type="dxa" w:w="10080"/>
        <w:tblBorders>
          <w:top w:val="single" w:color="9FA8DA" w:sz="4"/>
          <w:left w:val="single" w:color="9FA8DA" w:sz="4"/>
          <w:bottom w:val="single" w:color="9FA8DA" w:sz="4"/>
          <w:right w:val="single" w:color="9FA8DA" w:sz="4"/>
          <w:insideH w:val="single" w:color="C5CAE9" w:sz="2"/>
          <w:insideV w:val="single" w:color="C5CAE9" w:sz="2"/>
        </w:tblBorders>
      </w:tblPr>
      <w:tblGrid>
        <w:gridCol w:w="2085"/>
        <w:gridCol w:w="7995"/>
      </w:tblGrid>
      <w:tr>
        <w:trPr>
          <w:tblHeader/>
          <w:cantSplit/>
        </w:trPr>
        <w:tc>
          <w:tcPr>
            <w:tcW w:type="dxa" w:w="2085"/>
            <w:shd w:fill="1A237E" w:color="auto" w:val="clear"/>
            <w:tcMar>
              <w:top w:type="dxa" w:w="70"/>
              <w:left w:type="dxa" w:w="100"/>
              <w:bottom w:type="dxa" w:w="70"/>
              <w:right w:type="dxa" w:w="100"/>
            </w:tcMar>
            <w:vAlign w:val="center"/>
          </w:tcPr>
          <w:p>
            <w:pPr>
              <w:spacing w:after="0" w:before="0" w:line="252"/>
            </w:pPr>
            <w:r>
              <w:rPr>
                <w:b/>
                <w:bCs/>
                <w:color w:val="FFFFFF"/>
                <w:sz w:val="17"/>
                <w:szCs w:val="17"/>
              </w:rPr>
              <w:t xml:space="preserve">Audience</w:t>
            </w:r>
          </w:p>
        </w:tc>
        <w:tc>
          <w:tcPr>
            <w:tcW w:type="dxa" w:w="7995"/>
            <w:shd w:fill="1A237E" w:color="auto" w:val="clear"/>
            <w:tcMar>
              <w:top w:type="dxa" w:w="70"/>
              <w:left w:type="dxa" w:w="100"/>
              <w:bottom w:type="dxa" w:w="70"/>
              <w:right w:type="dxa" w:w="100"/>
            </w:tcMar>
            <w:vAlign w:val="center"/>
          </w:tcPr>
          <w:p>
            <w:pPr>
              <w:spacing w:after="0" w:before="0" w:line="252"/>
            </w:pPr>
            <w:r>
              <w:rPr>
                <w:b/>
                <w:bCs/>
                <w:color w:val="FFFFFF"/>
                <w:sz w:val="17"/>
                <w:szCs w:val="17"/>
              </w:rPr>
              <w:t xml:space="preserve">Action</w:t>
            </w:r>
          </w:p>
        </w:tc>
      </w:tr>
      <w:tr>
        <w:tc>
          <w:tcPr>
            <w:tcW w:type="dxa" w:w="2085"/>
            <w:shd w:fill="F5F6FA" w:color="auto" w:val="clear"/>
            <w:tcMar>
              <w:top w:type="dxa" w:w="70"/>
              <w:left w:type="dxa" w:w="100"/>
              <w:bottom w:type="dxa" w:w="70"/>
              <w:right w:type="dxa" w:w="100"/>
            </w:tcMar>
          </w:tcPr>
          <w:p>
            <w:pPr>
              <w:spacing w:after="0" w:before="0" w:line="252"/>
            </w:pPr>
            <w:r>
              <w:rPr>
                <w:b/>
                <w:bCs/>
                <w:color w:val="1F2430"/>
                <w:sz w:val="17"/>
                <w:szCs w:val="17"/>
              </w:rPr>
              <w:t xml:space="preserve">Solution Architect</w:t>
            </w:r>
          </w:p>
        </w:tc>
        <w:tc>
          <w:tcPr>
            <w:tcW w:type="dxa" w:w="7995"/>
            <w:tcMar>
              <w:top w:type="dxa" w:w="70"/>
              <w:left w:type="dxa" w:w="100"/>
              <w:bottom w:type="dxa" w:w="70"/>
              <w:right w:type="dxa" w:w="100"/>
            </w:tcMar>
          </w:tcPr>
          <w:p>
            <w:pPr>
              <w:spacing w:after="0" w:before="0" w:line="252"/>
            </w:pPr>
            <w:r>
              <w:rPr>
                <w:color w:val="1F2430"/>
                <w:sz w:val="17"/>
                <w:szCs w:val="17"/>
              </w:rPr>
              <w:t xml:space="preserve">Close §0.7 (O-1) and populate Appendix B.1. Both view sets depend on the first; §8.1 explains why the second matters more than it looks.</w:t>
            </w:r>
          </w:p>
        </w:tc>
      </w:tr>
      <w:tr>
        <w:tc>
          <w:tcPr>
            <w:tcW w:type="dxa" w:w="2085"/>
            <w:shd w:fill="F5F6FA" w:color="auto" w:val="clear"/>
            <w:tcMar>
              <w:top w:type="dxa" w:w="70"/>
              <w:left w:type="dxa" w:w="100"/>
              <w:bottom w:type="dxa" w:w="70"/>
              <w:right w:type="dxa" w:w="100"/>
            </w:tcMar>
          </w:tcPr>
          <w:p>
            <w:pPr>
              <w:spacing w:after="0" w:before="0" w:line="252"/>
            </w:pPr>
            <w:r>
              <w:rPr>
                <w:b/>
                <w:bCs/>
                <w:color w:val="1F2430"/>
                <w:sz w:val="17"/>
                <w:szCs w:val="17"/>
              </w:rPr>
              <w:t xml:space="preserve">Architecture Review Board</w:t>
            </w:r>
          </w:p>
        </w:tc>
        <w:tc>
          <w:tcPr>
            <w:tcW w:type="dxa" w:w="7995"/>
            <w:tcMar>
              <w:top w:type="dxa" w:w="70"/>
              <w:left w:type="dxa" w:w="100"/>
              <w:bottom w:type="dxa" w:w="70"/>
              <w:right w:type="dxa" w:w="100"/>
            </w:tcMar>
          </w:tcPr>
          <w:p>
            <w:pPr>
              <w:spacing w:after="0" w:before="0" w:line="252"/>
            </w:pPr>
            <w:r>
              <w:rPr>
                <w:color w:val="1F2430"/>
                <w:sz w:val="17"/>
                <w:szCs w:val="17"/>
              </w:rPr>
              <w:t xml:space="preserve">Accept or reject the container traceability at §3.1. It is the contract between current and target state; everything downstream depends on it holding.</w:t>
            </w:r>
          </w:p>
        </w:tc>
      </w:tr>
      <w:tr>
        <w:tc>
          <w:tcPr>
            <w:tcW w:type="dxa" w:w="2085"/>
            <w:shd w:fill="F5F6FA" w:color="auto" w:val="clear"/>
            <w:tcMar>
              <w:top w:type="dxa" w:w="70"/>
              <w:left w:type="dxa" w:w="100"/>
              <w:bottom w:type="dxa" w:w="70"/>
              <w:right w:type="dxa" w:w="100"/>
            </w:tcMar>
          </w:tcPr>
          <w:p>
            <w:pPr>
              <w:spacing w:after="0" w:before="0" w:line="252"/>
            </w:pPr>
            <w:r>
              <w:rPr>
                <w:b/>
                <w:bCs/>
                <w:color w:val="1F2430"/>
                <w:sz w:val="17"/>
                <w:szCs w:val="17"/>
              </w:rPr>
              <w:t xml:space="preserve">Delivery leads</w:t>
            </w:r>
          </w:p>
        </w:tc>
        <w:tc>
          <w:tcPr>
            <w:tcW w:type="dxa" w:w="7995"/>
            <w:tcMar>
              <w:top w:type="dxa" w:w="70"/>
              <w:left w:type="dxa" w:w="100"/>
              <w:bottom w:type="dxa" w:w="70"/>
              <w:right w:type="dxa" w:w="100"/>
            </w:tcMar>
          </w:tcPr>
          <w:p>
            <w:pPr>
              <w:spacing w:after="0" w:before="0" w:line="252"/>
            </w:pPr>
            <w:r>
              <w:rPr>
                <w:color w:val="1F2430"/>
                <w:sz w:val="17"/>
                <w:szCs w:val="17"/>
              </w:rPr>
              <w:t xml:space="preserve">Read §4 before estimating. CON02 is a rewrite, not a port, and estimating it as a port is the most likely way this programme goes wrong.</w:t>
            </w:r>
          </w:p>
        </w:tc>
      </w:tr>
      <w:tr>
        <w:tc>
          <w:tcPr>
            <w:tcW w:type="dxa" w:w="2085"/>
            <w:shd w:fill="F5F6FA" w:color="auto" w:val="clear"/>
            <w:tcMar>
              <w:top w:type="dxa" w:w="70"/>
              <w:left w:type="dxa" w:w="100"/>
              <w:bottom w:type="dxa" w:w="70"/>
              <w:right w:type="dxa" w:w="100"/>
            </w:tcMar>
          </w:tcPr>
          <w:p>
            <w:pPr>
              <w:spacing w:after="0" w:before="0" w:line="252"/>
            </w:pPr>
            <w:r>
              <w:rPr>
                <w:b/>
                <w:bCs/>
                <w:color w:val="1F2430"/>
                <w:sz w:val="17"/>
                <w:szCs w:val="17"/>
              </w:rPr>
              <w:t xml:space="preserve">Programme management</w:t>
            </w:r>
          </w:p>
        </w:tc>
        <w:tc>
          <w:tcPr>
            <w:tcW w:type="dxa" w:w="7995"/>
            <w:tcMar>
              <w:top w:type="dxa" w:w="70"/>
              <w:left w:type="dxa" w:w="100"/>
              <w:bottom w:type="dxa" w:w="70"/>
              <w:right w:type="dxa" w:w="100"/>
            </w:tcMar>
          </w:tcPr>
          <w:p>
            <w:pPr>
              <w:spacing w:after="0" w:before="0" w:line="252"/>
            </w:pPr>
            <w:r>
              <w:rPr>
                <w:color w:val="1F2430"/>
                <w:sz w:val="17"/>
                <w:szCs w:val="17"/>
              </w:rPr>
              <w:t xml:space="preserve">Note that no external interface contract reopens and only one repository boundary moves. Those two facts are what keep the migration sequenceable.</w:t>
            </w:r>
          </w:p>
        </w:tc>
      </w:tr>
    </w:tbl>
    <w:p>
      <w:pPr>
        <w:spacing w:after="140" w:before="0" w:line="264"/>
      </w:pPr>
    </w:p>
    <w:sectPr>
      <w:headerReference w:type="default" r:id="rId7"/>
      <w:footerReference w:type="default" r:id="rId8"/>
      <w:pgSz w:w="12240" w:h="15840" w:orient="portrait"/>
      <w:pgMar w:top="1180" w:right="1080" w:bottom="1080" w:left="1080" w:header="620"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color w:val="455A64"/>
        <w:sz w:val="15"/>
        <w:szCs w:val="15"/>
      </w:rPr>
      <w:t xml:space="preserve">rev 3.0  ·  8 September 2026</w:t>
    </w:r>
    <w:r>
      <w:rPr>
        <w:color w:val="455A64"/>
        <w:sz w:val="15"/>
        <w:szCs w:val="15"/>
      </w:rPr>
      <w:t xml:space="preserve">	Page </w:t>
    </w:r>
    <w:r>
      <w:rPr>
        <w:b/>
        <w:color w:val="455A64"/>
        <w:sz w:val="15"/>
      </w:rPr>
      <w:fldChar w:fldCharType="begin"/>
      <w:instrText xml:space="preserve">PAGE</w:instrText>
      <w:fldChar w:fldCharType="separate"/>
      <w:fldChar w:fldCharType="end"/>
    </w:r>
    <w:r>
      <w:rPr>
        <w:color w:val="455A64"/>
        <w:sz w:val="15"/>
      </w:rPr>
      <w:t xml:space="preserve"> of </w:t>
    </w:r>
    <w:r>
      <w:rPr>
        <w:color w:val="455A64"/>
        <w:sz w:val="15"/>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3680"/>
      </w:tabs>
    </w:pPr>
    <w:r>
      <w:rPr>
        <w:color w:val="455A64"/>
        <w:sz w:val="15"/>
        <w:szCs w:val="15"/>
      </w:rPr>
      <w:t xml:space="preserve">rev 3.0  ·  8 September 2026</w:t>
    </w:r>
    <w:r>
      <w:rPr>
        <w:color w:val="455A64"/>
        <w:sz w:val="15"/>
        <w:szCs w:val="15"/>
      </w:rPr>
      <w:t xml:space="preserve">	Page </w:t>
    </w:r>
    <w:r>
      <w:rPr>
        <w:b/>
        <w:color w:val="455A64"/>
        <w:sz w:val="15"/>
      </w:rPr>
      <w:fldChar w:fldCharType="begin"/>
      <w:instrText xml:space="preserve">PAGE</w:instrText>
      <w:fldChar w:fldCharType="separate"/>
      <w:fldChar w:fldCharType="end"/>
    </w:r>
    <w:r>
      <w:rPr>
        <w:color w:val="455A64"/>
        <w:sz w:val="15"/>
      </w:rPr>
      <w:t xml:space="preserve"> of </w:t>
    </w:r>
    <w:r>
      <w:rPr>
        <w:color w:val="455A64"/>
        <w:sz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C5CAE9" w:sz="4" w:space="6"/>
      </w:pBdr>
      <w:tabs>
        <w:tab w:val="right" w:pos="10080"/>
      </w:tabs>
    </w:pPr>
    <w:r>
      <w:rPr>
        <w:color w:val="455A64"/>
        <w:sz w:val="15"/>
        <w:szCs w:val="15"/>
      </w:rPr>
      <w:t xml:space="preserve">CEF-MOD-TAD-001  ·  Target State Architecture — C4 View Pack</w:t>
    </w:r>
    <w:r>
      <w:rPr>
        <w:color w:val="455A64"/>
        <w:sz w:val="15"/>
        <w:szCs w:val="15"/>
      </w:rPr>
      <w:t xml:space="preserve">	MSS / Gainwell Confidential  ·  DRAFT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C5CAE9" w:sz="4" w:space="6"/>
      </w:pBdr>
      <w:tabs>
        <w:tab w:val="right" w:pos="13680"/>
      </w:tabs>
    </w:pPr>
    <w:r>
      <w:rPr>
        <w:color w:val="455A64"/>
        <w:sz w:val="15"/>
        <w:szCs w:val="15"/>
      </w:rPr>
      <w:t xml:space="preserve">CEF-MOD-TAD-001  ·  Target State Architecture — C4 View Pack</w:t>
    </w:r>
    <w:r>
      <w:rPr>
        <w:color w:val="455A64"/>
        <w:sz w:val="15"/>
        <w:szCs w:val="15"/>
      </w:rPr>
      <w:t xml:space="preserve">	MSS / Gainwell Confidential  ·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rPr>
        <w:color w:val="00695C"/>
      </w:rPr>
    </w:lvl>
    <w:lvl w:ilvl="1" w15:tentative="1">
      <w:start w:val="1"/>
      <w:numFmt w:val="bullet"/>
      <w:lvlText w:val="–"/>
      <w:lvlJc w:val="left"/>
      <w:pPr>
        <w:ind w:left="700" w:hanging="200"/>
      </w:pPr>
      <w:rPr>
        <w:color w:val="00695C"/>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43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A237E"/>
      <w:sz w:val="30"/>
      <w:szCs w:val="30"/>
    </w:rPr>
  </w:style>
  <w:style w:type="paragraph" w:styleId="Heading2">
    <w:name w:val="Heading 2"/>
    <w:basedOn w:val="Normal"/>
    <w:next w:val="Normal"/>
    <w:qFormat/>
    <w:rPr>
      <w:rFonts w:ascii="Calibri" w:cs="Calibri" w:eastAsia="Calibri" w:hAnsi="Calibri"/>
      <w:b/>
      <w:bCs/>
      <w:color w:val="1A237E"/>
      <w:sz w:val="24"/>
      <w:szCs w:val="24"/>
    </w:rPr>
  </w:style>
  <w:style w:type="paragraph" w:styleId="Heading3">
    <w:name w:val="Heading 3"/>
    <w:basedOn w:val="Normal"/>
    <w:next w:val="Normal"/>
    <w:qFormat/>
    <w:rPr>
      <w:rFonts w:ascii="Calibri" w:cs="Calibri" w:eastAsia="Calibri" w:hAnsi="Calibri"/>
      <w:b/>
      <w:bCs/>
      <w:color w:val="00695C"/>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20" Type="http://schemas.openxmlformats.org/officeDocument/2006/relationships/header" Target="header2.xml"/><Relationship Id="rId21" Type="http://schemas.openxmlformats.org/officeDocument/2006/relationships/footer" Target="footer2.xml"/><Relationship Id="rId101" Type="http://schemas.openxmlformats.org/officeDocument/2006/relationships/image" Target="media/image101.png"/><Relationship Id="rId102" Type="http://schemas.openxmlformats.org/officeDocument/2006/relationships/image" Target="media/image102.png"/><Relationship Id="rId103" Type="http://schemas.openxmlformats.org/officeDocument/2006/relationships/image" Target="media/image103.png"/><Relationship Id="rId104" Type="http://schemas.openxmlformats.org/officeDocument/2006/relationships/image" Target="media/image104.png"/><Relationship Id="rId105" Type="http://schemas.openxmlformats.org/officeDocument/2006/relationships/image" Target="media/image105.png"/><Relationship Id="rId106" Type="http://schemas.openxmlformats.org/officeDocument/2006/relationships/image" Target="media/image106.png"/><Relationship Id="rId107" Type="http://schemas.openxmlformats.org/officeDocument/2006/relationships/image" Target="media/image107.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Target State Architecture — C4 View Pack and Container Traceability</dc:title>
  <dc:creator>McLaren Strategic Solutions</dc:creator>
  <dc:description>Front-end current-state answer pack for the capitation re-architecture discovery request</dc:description>
  <cp:lastModifiedBy>Un-named</cp:lastModifiedBy>
  <cp:revision>1</cp:revision>
  <dcterms:created xsi:type="dcterms:W3CDTF">2026-09-03T15:26:10.495Z</dcterms:created>
  <dcterms:modified xsi:type="dcterms:W3CDTF">2026-09-03T15:26:10.496Z</dcterms:modified>
</cp:coreProperties>
</file>

<file path=docProps/custom.xml><?xml version="1.0" encoding="utf-8"?>
<Properties xmlns="http://schemas.openxmlformats.org/officeDocument/2006/custom-properties" xmlns:vt="http://schemas.openxmlformats.org/officeDocument/2006/docPropsVTypes"/>
</file>