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HomePrice.uz:</w:t>
      </w:r>
      <w:r>
        <w:t xml:space="preserve"> </w:t>
      </w:r>
      <w:r>
        <w:t xml:space="preserve">пакет</w:t>
      </w:r>
      <w:r>
        <w:t xml:space="preserve"> </w:t>
      </w:r>
      <w:r>
        <w:t xml:space="preserve">материалов</w:t>
      </w:r>
      <w:r>
        <w:t xml:space="preserve"> </w:t>
      </w:r>
      <w:r>
        <w:t xml:space="preserve">для</w:t>
      </w:r>
      <w:r>
        <w:t xml:space="preserve"> </w:t>
      </w:r>
      <w:r>
        <w:t xml:space="preserve">Общества</w:t>
      </w:r>
      <w:r>
        <w:t xml:space="preserve"> </w:t>
      </w:r>
      <w:r>
        <w:t xml:space="preserve">оценщиков</w:t>
      </w:r>
    </w:p>
    <w:p>
      <w:pPr>
        <w:pStyle w:val="Subtitle"/>
      </w:pPr>
      <w:r>
        <w:t xml:space="preserve">ЧЕРНОВИК.</w:t>
      </w:r>
      <w:r>
        <w:t xml:space="preserve"> </w:t>
      </w:r>
      <w:r>
        <w:t xml:space="preserve">Не</w:t>
      </w:r>
      <w:r>
        <w:t xml:space="preserve"> </w:t>
      </w:r>
      <w:r>
        <w:t xml:space="preserve">для</w:t>
      </w:r>
      <w:r>
        <w:t xml:space="preserve"> </w:t>
      </w:r>
      <w:r>
        <w:t xml:space="preserve">отправки.</w:t>
      </w:r>
      <w:r>
        <w:t xml:space="preserve"> </w:t>
      </w:r>
      <w:r>
        <w:t xml:space="preserve">Версия</w:t>
      </w:r>
      <w:r>
        <w:t xml:space="preserve"> </w:t>
      </w:r>
      <w:r>
        <w:t xml:space="preserve">0.1</w:t>
      </w:r>
      <w:r>
        <w:t xml:space="preserve"> </w:t>
      </w:r>
      <w:r>
        <w:t xml:space="preserve">от</w:t>
      </w:r>
      <w:r>
        <w:t xml:space="preserve"> </w:t>
      </w:r>
      <w:r>
        <w:t xml:space="preserve">18.10.2026</w:t>
      </w:r>
    </w:p>
    <w:p>
      <w:pPr>
        <w:pStyle w:val="BlockText"/>
      </w:pPr>
      <w:r>
        <w:rPr>
          <w:bCs/>
          <w:b/>
        </w:rPr>
        <w:t xml:space="preserve">Статус документа.</w:t>
      </w:r>
      <w:r>
        <w:t xml:space="preserve"> </w:t>
      </w:r>
      <w:r>
        <w:t xml:space="preserve">Каркас пакета (задача I5). Разделы 3 и 4 содержат пустые таблицы: методология (H1), матрица соответствия (H2) и проверка на архиве (H4) ещё не выполнены. Цифр точности в документе нет и быть не должно, пока они не получены. Поля в квадратных скобках заполняются перед отправкой. Название адресата и форма обращения уточняются после ответа на вопросы I6.</w:t>
      </w:r>
    </w:p>
    <w:bookmarkStart w:id="20" w:name="о-проекте"/>
    <w:p>
      <w:pPr>
        <w:pStyle w:val="Heading1"/>
      </w:pPr>
      <w:r>
        <w:t xml:space="preserve">1. О проекте</w:t>
      </w:r>
    </w:p>
    <w:p>
      <w:pPr>
        <w:pStyle w:val="FirstParagraph"/>
      </w:pPr>
      <w:r>
        <w:rPr>
          <w:bCs/>
          <w:b/>
        </w:rPr>
        <w:t xml:space="preserve">HomePrice.uz</w:t>
      </w:r>
      <w:r>
        <w:t xml:space="preserve"> </w:t>
      </w:r>
      <w:r>
        <w:t xml:space="preserve">— онлайн-сервис, который показывает ориентировочную стоимость квартиры в Ташкенте. Проект ведёт Bizzone Group (оператор портала и данных). Партнёр проекта — оценочная компания KMT, чьи математические модели и оценщики лежат в основе расчёта и отчёта уровня 3. [Обе компании связаны общим владельцем — решить, раскрываем ли это в явном виде]; связь KMT с проектом раскрывается на сайте и в отчётах.</w:t>
      </w:r>
    </w:p>
    <w:p>
      <w:pPr>
        <w:pStyle w:val="BodyText"/>
      </w:pPr>
      <w:r>
        <w:rPr>
          <w:bCs/>
          <w:b/>
        </w:rPr>
        <w:t xml:space="preserve">Три уровня продукта</w:t>
      </w:r>
    </w:p>
    <w:p>
      <w:pPr>
        <w:numPr>
          <w:ilvl w:val="0"/>
          <w:numId w:val="1001"/>
        </w:numPr>
        <w:pStyle w:val="Compact"/>
      </w:pPr>
      <w:r>
        <w:t xml:space="preserve">Быстрый предварительный расчёт: диапазон по ограниченному набору характеристик. Не оценка.</w:t>
      </w:r>
    </w:p>
    <w:p>
      <w:pPr>
        <w:numPr>
          <w:ilvl w:val="0"/>
          <w:numId w:val="1001"/>
        </w:numPr>
        <w:pStyle w:val="Compact"/>
      </w:pPr>
      <w:r>
        <w:t xml:space="preserve">Онлайн-оценка с мини-отчётом: расчёт по расширенным данным, аналоги, факторы. Не отчёт об оценке.</w:t>
      </w:r>
    </w:p>
    <w:p>
      <w:pPr>
        <w:numPr>
          <w:ilvl w:val="0"/>
          <w:numId w:val="1001"/>
        </w:numPr>
        <w:pStyle w:val="Compact"/>
      </w:pPr>
      <w:r>
        <w:t xml:space="preserve">Профессиональная оценка KMT: выезд, документы, официальный отчёт оценщика.</w:t>
      </w:r>
    </w:p>
    <w:p>
      <w:pPr>
        <w:pStyle w:val="FirstParagraph"/>
      </w:pPr>
      <w:r>
        <w:rPr>
          <w:bCs/>
          <w:b/>
        </w:rPr>
        <w:t xml:space="preserve">Принципы</w:t>
      </w:r>
    </w:p>
    <w:p>
      <w:pPr>
        <w:numPr>
          <w:ilvl w:val="0"/>
          <w:numId w:val="1002"/>
        </w:numPr>
        <w:pStyle w:val="Compact"/>
      </w:pPr>
      <w:r>
        <w:t xml:space="preserve">Стоимость определяют математические модели, основанные на рыночных данных, характеристиках объекта, сопоставимых объектах и методике оценки (ЕНСО, НСО № 10). Искусственный интеллект стоимость не определяет и результаты моделей не меняет; он только помогает пользователю заполнять данные и понимать результат.</w:t>
      </w:r>
    </w:p>
    <w:p>
      <w:pPr>
        <w:numPr>
          <w:ilvl w:val="0"/>
          <w:numId w:val="1002"/>
        </w:numPr>
        <w:pStyle w:val="Compact"/>
      </w:pPr>
      <w:r>
        <w:t xml:space="preserve">Цены предложения (объявления) и цены сделок различаются и маркируются.</w:t>
      </w:r>
    </w:p>
    <w:p>
      <w:pPr>
        <w:numPr>
          <w:ilvl w:val="0"/>
          <w:numId w:val="1002"/>
        </w:numPr>
        <w:pStyle w:val="Compact"/>
      </w:pPr>
      <w:r>
        <w:t xml:space="preserve">Мы не заявляем точность, которую не измерили.</w:t>
      </w:r>
    </w:p>
    <w:p>
      <w:pPr>
        <w:numPr>
          <w:ilvl w:val="0"/>
          <w:numId w:val="1002"/>
        </w:numPr>
        <w:pStyle w:val="Compact"/>
      </w:pPr>
      <w:r>
        <w:t xml:space="preserve">До регистрации в реестре баз персональных данных персональные данные не собираются.</w:t>
      </w:r>
    </w:p>
    <w:bookmarkEnd w:id="20"/>
    <w:bookmarkStart w:id="21" w:name="методология"/>
    <w:p>
      <w:pPr>
        <w:pStyle w:val="Heading1"/>
      </w:pPr>
      <w:r>
        <w:t xml:space="preserve">2. Методология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описание методологии «как реализовано в коде» (задача H1) не готово. Ниже — структура документа, который будет приложен.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Раздел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Источник в проекте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2.1 Цель и вид стоимости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Рыночная стоимость; дата оценки; 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02_Methodology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2.2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Источники, очистка, дедупликация, геокодирование, контроль качества; различие цен предложения и сделок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03_Data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2.3 Подходы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Сравнительный подход; применение или обоснованный отказ от иных подходов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02_Methodology/comparative_approach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2.4 Отбор аналогов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Критерии, ранжирование, минимальное число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04_Valuation_Engine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2.5 Корректировки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Этаж, ремонт, тип дома, лифт, год, площадь, торг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02_Methodology/adjustments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2.6 Местоположение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Балльная оценка по восьми факторам; районные коэффициенты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02_Methodology/location_scoring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district_coefficients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2.7 Расчёт и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Математическая модель, определение диапазона, оценка качества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04_Valuation_Engine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2.8 Метка достоверности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Правила присвоения; пересматриваются после 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09_Reporting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пересматривается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2.9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модель не делает; где нужен оценщик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01_Product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</w:tbl>
    <w:bookmarkEnd w:id="21"/>
    <w:bookmarkStart w:id="22" w:name="матрица-соответствия-стандартам"/>
    <w:p>
      <w:pPr>
        <w:pStyle w:val="Heading1"/>
      </w:pPr>
      <w:r>
        <w:t xml:space="preserve">3. Матрица соответствия стандартам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пункты ЕНСО, НСО № 10 и Методики сверяются по тексту на lex.uz (задача H3) и заполняются оценщиком (H2). Колонка «Пункт» пока пустая намеренно: номера пунктов не подставляются по памяти.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Тема требования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Пункт стандарта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Как реализовано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Где видно в отчёте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Доказательство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Идентификация объекта и дата оценки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Цель оценки и вид стоимости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Допущения и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Сбор и проверка рыночной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Выбор подходов и обоснование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Отбор сопоставимых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Элементы сравнения и корректировки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Местоположение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Согласование результатов, итоговая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Диапазон и достоверность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Содержание отчёта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Независимость, раскрытие связей, 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заполнено</w:t>
            </w:r>
          </w:p>
        </w:tc>
      </w:tr>
    </w:tbl>
    <w:p>
      <w:pPr>
        <w:pStyle w:val="BodyText"/>
      </w:pPr>
      <w:r>
        <w:t xml:space="preserve">Темы — типовой каркас отчёта об оценке; перечень пунктов стандарта, которым они соответствуют, определяет оценщик по тексту документов.</w:t>
      </w:r>
    </w:p>
    <w:bookmarkEnd w:id="22"/>
    <w:bookmarkStart w:id="26" w:name="результаты-проверки-на-архиве-kmt"/>
    <w:p>
      <w:pPr>
        <w:pStyle w:val="Heading1"/>
      </w:pPr>
      <w:r>
        <w:t xml:space="preserve">4. Результаты проверки на архиве KMT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проверка (задача H4) не проведена. Результатов нет.</w:t>
      </w:r>
    </w:p>
    <w:bookmarkStart w:id="23" w:name="протокол-фиксируется-до-расчёта"/>
    <w:p>
      <w:pPr>
        <w:pStyle w:val="Heading2"/>
      </w:pPr>
      <w:r>
        <w:t xml:space="preserve">4.1 Протокол (фиксируется до расчёта)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Объект проверки:</w:t>
      </w:r>
      <w:r>
        <w:t xml:space="preserve"> </w:t>
      </w:r>
      <w:r>
        <w:t xml:space="preserve">корректировки и итоговые значения модели, сопоставленные с отчётами оценщиков KMT.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Выборка:</w:t>
      </w:r>
      <w:r>
        <w:t xml:space="preserve"> </w:t>
      </w:r>
      <w:r>
        <w:rPr>
          <w:rStyle w:val="VerbatimChar"/>
        </w:rPr>
        <w:t xml:space="preserve">___</w:t>
      </w:r>
      <w:r>
        <w:t xml:space="preserve"> </w:t>
      </w:r>
      <w:r>
        <w:t xml:space="preserve">архивных отчётов по квартирам Ташкента (ориентир плана: 50–100; для устойчивости рассматривается 100–200).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Что сравнивается:</w:t>
      </w:r>
      <w:r>
        <w:t xml:space="preserve"> </w:t>
      </w:r>
      <w:r>
        <w:t xml:space="preserve">итоговая стоимость модели и стоимость в отчёте оценщика (а не цена сделки: это разные величины, различие проговаривается).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Дата и данные:</w:t>
      </w:r>
      <w:r>
        <w:t xml:space="preserve"> </w:t>
      </w:r>
      <w:r>
        <w:t xml:space="preserve">расчёт на дату отчёта, на данных, существовавших на эту дату (без «подглядывания» в будущие цены).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Метрики (заранее):</w:t>
      </w:r>
      <w:r>
        <w:t xml:space="preserve"> </w:t>
      </w:r>
      <w:r>
        <w:t xml:space="preserve">медианная абсолютная процентная ошибка; доля случаев в пределах ±10%, ±15%, ±20%; систематическое смещение (среднее и медиана знаковой ошибки); попадание значения оценщика в диапазон модели; разрез по районам и типам домов.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Критерии интерпретации:</w:t>
      </w:r>
      <w:r>
        <w:t xml:space="preserve"> </w:t>
      </w:r>
      <w:r>
        <w:t xml:space="preserve">задаются до просмотра результатов (</w:t>
      </w:r>
      <w:r>
        <w:rPr>
          <w:rStyle w:val="VerbatimChar"/>
        </w:rPr>
        <w:t xml:space="preserve">___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Исключения:</w:t>
      </w:r>
      <w:r>
        <w:t xml:space="preserve"> </w:t>
      </w:r>
      <w:r>
        <w:t xml:space="preserve">объекты с неполными данными исключаются по заранее описанным правилам, число исключённых указывается.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Ограничения:</w:t>
      </w:r>
      <w:r>
        <w:t xml:space="preserve"> </w:t>
      </w:r>
      <w:r>
        <w:t xml:space="preserve">выборка — отчёты одной компании; отчёты включают суждение оценщика; результат не распространяется на другие сегменты и города.</w:t>
      </w:r>
    </w:p>
    <w:bookmarkEnd w:id="23"/>
    <w:bookmarkStart w:id="24" w:name="результаты"/>
    <w:p>
      <w:pPr>
        <w:pStyle w:val="Heading2"/>
      </w:pPr>
      <w:r>
        <w:t xml:space="preserve">4.2 Результаты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Метрика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Медианная абсолютная ошибка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Доля в ±10%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Доля в ±15%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Доля в ±20%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Смещение (медиана)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Значение оценщика внутри диапазона модели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___</w:t>
            </w:r>
          </w:p>
        </w:tc>
      </w:tr>
    </w:tbl>
    <w:bookmarkEnd w:id="24"/>
    <w:bookmarkStart w:id="25" w:name="прямая-валидация-h6"/>
    <w:p>
      <w:pPr>
        <w:pStyle w:val="Heading2"/>
      </w:pPr>
      <w:r>
        <w:t xml:space="preserve">4.3 Прямая валидация (H6)</w:t>
      </w:r>
    </w:p>
    <w:p>
      <w:pPr>
        <w:pStyle w:val="FirstParagraph"/>
      </w:pPr>
      <w:r>
        <w:t xml:space="preserve">С запуска каждая новая оценка KMT параллельно считается моделью, пары «оценщик / модель» фиксируются в журнале. Результаты будут добавлены:</w:t>
      </w:r>
      <w:r>
        <w:t xml:space="preserve"> </w:t>
      </w:r>
      <w:r>
        <w:rPr>
          <w:rStyle w:val="VerbatimChar"/>
        </w:rPr>
        <w:t xml:space="preserve">___</w:t>
      </w:r>
      <w:r>
        <w:t xml:space="preserve">.</w:t>
      </w:r>
    </w:p>
    <w:bookmarkEnd w:id="25"/>
    <w:bookmarkEnd w:id="26"/>
    <w:bookmarkStart w:id="27" w:name="прозрачность-и-независимость"/>
    <w:p>
      <w:pPr>
        <w:pStyle w:val="Heading1"/>
      </w:pPr>
      <w:r>
        <w:t xml:space="preserve">5. Прозрачность и независимость</w:t>
      </w:r>
    </w:p>
    <w:p>
      <w:pPr>
        <w:numPr>
          <w:ilvl w:val="0"/>
          <w:numId w:val="1004"/>
        </w:numPr>
        <w:pStyle w:val="Compact"/>
      </w:pPr>
      <w:r>
        <w:t xml:space="preserve">Связь KMT и проекта раскрывается на сайте и в отчётах.</w:t>
      </w:r>
    </w:p>
    <w:p>
      <w:pPr>
        <w:numPr>
          <w:ilvl w:val="0"/>
          <w:numId w:val="1004"/>
        </w:numPr>
        <w:pStyle w:val="Compact"/>
      </w:pPr>
      <w:r>
        <w:t xml:space="preserve">KMT является оценочной компанией и владеет моделями. Мы понимаем, что это создаёт вопрос о нейтральности, и просим мнение Общества о мерах: раскрытие связи, правило принадлежности клиента, равные публичные метрики качества, внешний арбитр в спорах.</w:t>
      </w:r>
    </w:p>
    <w:p>
      <w:pPr>
        <w:numPr>
          <w:ilvl w:val="0"/>
          <w:numId w:val="1004"/>
        </w:numPr>
        <w:pStyle w:val="Compact"/>
      </w:pPr>
      <w:r>
        <w:t xml:space="preserve">До получения мнения Общества мы не называем сервис нейтральным и не утверждаем одобрения.</w:t>
      </w:r>
    </w:p>
    <w:bookmarkEnd w:id="27"/>
    <w:bookmarkStart w:id="28" w:name="чего-мы-не-заявляем"/>
    <w:p>
      <w:pPr>
        <w:pStyle w:val="Heading1"/>
      </w:pPr>
      <w:r>
        <w:t xml:space="preserve">6. Чего мы не заявляем</w:t>
      </w:r>
    </w:p>
    <w:p>
      <w:pPr>
        <w:numPr>
          <w:ilvl w:val="0"/>
          <w:numId w:val="1005"/>
        </w:numPr>
        <w:pStyle w:val="Compact"/>
      </w:pPr>
      <w:r>
        <w:t xml:space="preserve">Не заявляем, что онлайн-расчёт заменяет отчёт об оценке.</w:t>
      </w:r>
    </w:p>
    <w:p>
      <w:pPr>
        <w:numPr>
          <w:ilvl w:val="0"/>
          <w:numId w:val="1005"/>
        </w:numPr>
        <w:pStyle w:val="Compact"/>
      </w:pPr>
      <w:r>
        <w:t xml:space="preserve">Не заявляем точность (процентные границы публикуются только после проверки).</w:t>
      </w:r>
    </w:p>
    <w:p>
      <w:pPr>
        <w:numPr>
          <w:ilvl w:val="0"/>
          <w:numId w:val="1005"/>
        </w:numPr>
        <w:pStyle w:val="Compact"/>
      </w:pPr>
      <w:r>
        <w:t xml:space="preserve">Не заявляем одобрение, рекомендацию или сертификацию Обществом до решения Общества.</w:t>
      </w:r>
    </w:p>
    <w:p>
      <w:pPr>
        <w:numPr>
          <w:ilvl w:val="0"/>
          <w:numId w:val="1005"/>
        </w:numPr>
        <w:pStyle w:val="Compact"/>
      </w:pPr>
      <w:r>
        <w:t xml:space="preserve">Не заявляем, что отчёты принимаются банками, без письменного подтверждения.</w:t>
      </w:r>
    </w:p>
    <w:bookmarkEnd w:id="28"/>
    <w:bookmarkStart w:id="29" w:name="чего-мы-просим"/>
    <w:p>
      <w:pPr>
        <w:pStyle w:val="Heading1"/>
      </w:pPr>
      <w:r>
        <w:t xml:space="preserve">7. Чего мы просим</w:t>
      </w:r>
    </w:p>
    <w:p>
      <w:pPr>
        <w:pStyle w:val="FirstParagraph"/>
      </w:pPr>
      <w:r>
        <w:t xml:space="preserve">В зависимости от порядка, который сообщит Общество:</w:t>
      </w:r>
    </w:p>
    <w:p>
      <w:pPr>
        <w:numPr>
          <w:ilvl w:val="0"/>
          <w:numId w:val="1006"/>
        </w:numPr>
        <w:pStyle w:val="Compact"/>
      </w:pPr>
      <w:r>
        <w:t xml:space="preserve">Консультацию по порядку рассмотрения.</w:t>
      </w:r>
    </w:p>
    <w:p>
      <w:pPr>
        <w:numPr>
          <w:ilvl w:val="0"/>
          <w:numId w:val="1006"/>
        </w:numPr>
        <w:pStyle w:val="Compact"/>
      </w:pPr>
      <w:r>
        <w:t xml:space="preserve">Экспертную проверку методологии и матрицы соответствия.</w:t>
      </w:r>
    </w:p>
    <w:p>
      <w:pPr>
        <w:numPr>
          <w:ilvl w:val="0"/>
          <w:numId w:val="1006"/>
        </w:numPr>
        <w:pStyle w:val="Compact"/>
      </w:pPr>
      <w:r>
        <w:t xml:space="preserve">Участие в тестовой сверке на выборке объектов.</w:t>
      </w:r>
    </w:p>
    <w:p>
      <w:pPr>
        <w:numPr>
          <w:ilvl w:val="0"/>
          <w:numId w:val="1006"/>
        </w:numPr>
        <w:pStyle w:val="Compact"/>
      </w:pPr>
      <w:r>
        <w:t xml:space="preserve">Позицию по схеме работы с другими оценочными компаниями.</w:t>
      </w:r>
    </w:p>
    <w:p>
      <w:pPr>
        <w:numPr>
          <w:ilvl w:val="0"/>
          <w:numId w:val="1006"/>
        </w:numPr>
        <w:pStyle w:val="Compact"/>
      </w:pPr>
      <w:r>
        <w:t xml:space="preserve">[Рекомендацию или одобрение — если процедура предусматривает.]</w:t>
      </w:r>
    </w:p>
    <w:bookmarkEnd w:id="29"/>
    <w:bookmarkStart w:id="30" w:name="приложения-список"/>
    <w:p>
      <w:pPr>
        <w:pStyle w:val="Heading1"/>
      </w:pPr>
      <w:r>
        <w:t xml:space="preserve">8. Приложения (список)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Приложение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Описание методологии (H1)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Матрица соответствия (H2)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Отчёт проверки на архиве (H4)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Образцы мини-отчёта после правок (B8–B10)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Журнал калибровок и пар «оценщик / модель» (H6)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Схема раскрытия связей и работы с партнёрами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на основе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03_Neutrality_Conflict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Дисклеймеры (A10)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готово</w:t>
            </w:r>
          </w:p>
        </w:tc>
      </w:tr>
    </w:tbl>
    <w:bookmarkEnd w:id="30"/>
    <w:bookmarkStart w:id="31" w:name="контакты"/>
    <w:p>
      <w:pPr>
        <w:pStyle w:val="Heading1"/>
      </w:pPr>
      <w:r>
        <w:t xml:space="preserve">9. Контакты</w:t>
      </w:r>
    </w:p>
    <w:p>
      <w:pPr>
        <w:pStyle w:val="FirstParagraph"/>
      </w:pPr>
      <w:r>
        <w:t xml:space="preserve">[Ответственное лицо, организация, адрес для переписки.]</w:t>
      </w:r>
    </w:p>
    <w:bookmarkEnd w:id="31"/>
    <w:sect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HomePrice.uz: пакет материалов для Общества оценщиков</dc:title>
  <dc:creator/>
  <cp:keywords/>
  <dcterms:created xsi:type="dcterms:W3CDTF">2026-10-18T14:15:56Z</dcterms:created>
  <dcterms:modified xsi:type="dcterms:W3CDTF">2026-10-18T14:15:56Z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ЧЕРНОВИК. Не для отправки. Версия 0.1 от 18.10.2026</vt:lpwstr>
  </property>
</Properties>
</file>