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A1A2E"/>
          <w:sz w:val="40"/>
        </w:rPr>
        <w:t>MBA ZG583 — Management of AI Products</w:t>
      </w:r>
    </w:p>
    <w:p>
      <w:pPr>
        <w:jc w:val="center"/>
      </w:pPr>
      <w:r>
        <w:rPr>
          <w:b/>
          <w:color w:val="E07A5F"/>
          <w:sz w:val="30"/>
        </w:rPr>
        <w:t>Capstone Assignment Submission</w:t>
      </w:r>
    </w:p>
    <w:p/>
    <w:p>
      <w:pPr>
        <w:jc w:val="center"/>
      </w:pPr>
      <w:r>
        <w:rPr>
          <w:b/>
          <w:color w:val="1A1A2E"/>
          <w:sz w:val="36"/>
        </w:rPr>
        <w:t>Business Execution System (BES)</w:t>
      </w:r>
    </w:p>
    <w:p>
      <w:pPr>
        <w:jc w:val="center"/>
      </w:pPr>
      <w:r>
        <w:rPr>
          <w:i/>
          <w:color w:val="78716C"/>
          <w:sz w:val="26"/>
        </w:rPr>
        <w:t>An AI-Ready, Flow-Centric ERP Platform for Modern Enterprises</w:t>
      </w:r>
    </w:p>
    <w:p/>
    <w:p/>
    <w:p>
      <w:pPr>
        <w:jc w:val="center"/>
      </w:pPr>
      <w:r>
        <w:rPr>
          <w:b/>
          <w:color w:val="1A1A2E"/>
          <w:sz w:val="22"/>
        </w:rPr>
        <w:t xml:space="preserve">Course: </w:t>
      </w:r>
      <w:r>
        <w:rPr>
          <w:color w:val="1C1917"/>
          <w:sz w:val="22"/>
        </w:rPr>
        <w:t>MBA ZG583 — Management of AI Products</w:t>
      </w:r>
    </w:p>
    <w:p>
      <w:pPr>
        <w:jc w:val="center"/>
      </w:pPr>
      <w:r>
        <w:rPr>
          <w:b/>
          <w:color w:val="1A1A2E"/>
          <w:sz w:val="22"/>
        </w:rPr>
        <w:t xml:space="preserve">Assessment Type: </w:t>
      </w:r>
      <w:r>
        <w:rPr>
          <w:color w:val="1C1917"/>
          <w:sz w:val="22"/>
        </w:rPr>
        <w:t>Experiential Learning Assignment / Capstone (30%)</w:t>
      </w:r>
    </w:p>
    <w:p>
      <w:pPr>
        <w:jc w:val="center"/>
      </w:pPr>
      <w:r>
        <w:rPr>
          <w:b/>
          <w:color w:val="1A1A2E"/>
          <w:sz w:val="22"/>
        </w:rPr>
        <w:t xml:space="preserve">Submission Date: </w:t>
      </w:r>
      <w:r>
        <w:rPr>
          <w:color w:val="1C1917"/>
          <w:sz w:val="22"/>
        </w:rPr>
        <w:t>September 14, 2026</w:t>
      </w:r>
    </w:p>
    <w:p>
      <w:pPr>
        <w:jc w:val="center"/>
      </w:pPr>
      <w:r>
        <w:rPr>
          <w:b/>
          <w:color w:val="1A1A2E"/>
          <w:sz w:val="22"/>
        </w:rPr>
        <w:t xml:space="preserve">Team Name: </w:t>
      </w:r>
      <w:r>
        <w:rPr>
          <w:color w:val="1C1917"/>
          <w:sz w:val="22"/>
        </w:rPr>
        <w:t>BES Product Team</w:t>
      </w:r>
    </w:p>
    <w:p>
      <w:pPr>
        <w:jc w:val="center"/>
      </w:pPr>
      <w:r>
        <w:rPr>
          <w:b/>
          <w:color w:val="1A1A2E"/>
          <w:sz w:val="22"/>
        </w:rPr>
        <w:t xml:space="preserve">Product Name: </w:t>
      </w:r>
      <w:r>
        <w:rPr>
          <w:color w:val="1C1917"/>
          <w:sz w:val="22"/>
        </w:rPr>
        <w:t>Business Execution System (BES)</w:t>
      </w:r>
    </w:p>
    <w:p>
      <w:pPr>
        <w:jc w:val="center"/>
      </w:pPr>
      <w:r>
        <w:rPr>
          <w:b/>
          <w:color w:val="1A1A2E"/>
          <w:sz w:val="22"/>
        </w:rPr>
        <w:t xml:space="preserve">Prototype: </w:t>
      </w:r>
      <w:r>
        <w:rPr>
          <w:color w:val="1C1917"/>
          <w:sz w:val="22"/>
        </w:rPr>
        <w:t>Functional (FastAPI + React/TypeScript Nx Monorepo)</w:t>
      </w:r>
    </w:p>
    <w:p>
      <w:pPr>
        <w:jc w:val="center"/>
      </w:pPr>
      <w:r>
        <w:rPr>
          <w:b/>
          <w:color w:val="1A1A2E"/>
          <w:sz w:val="22"/>
        </w:rPr>
        <w:t xml:space="preserve">Recommendation: </w:t>
      </w:r>
      <w:r>
        <w:rPr>
          <w:color w:val="1C1917"/>
          <w:sz w:val="22"/>
        </w:rPr>
        <w:t>Proceed to Pilot — Core AI Readiness Layer Proven</w:t>
      </w:r>
    </w:p>
    <w:p>
      <w:r>
        <w:br w:type="page"/>
      </w:r>
    </w:p>
    <w:p>
      <w:pPr>
        <w:pStyle w:val="Heading1"/>
        <w:spacing w:before="280" w:after="80"/>
      </w:pPr>
      <w:r>
        <w:rPr>
          <w:b/>
          <w:color w:val="1A1A2E"/>
          <w:sz w:val="44"/>
        </w:rPr>
        <w:t>1. Executive Summary</w:t>
      </w:r>
    </w:p>
    <w:p>
      <w:pPr>
        <w:pStyle w:val="Heading2"/>
        <w:spacing w:before="200" w:after="80"/>
      </w:pPr>
      <w:r>
        <w:rPr>
          <w:b/>
          <w:color w:val="1A1A2E"/>
          <w:sz w:val="32"/>
        </w:rPr>
        <w:t>The Problem We Are Solving</w:t>
      </w:r>
    </w:p>
    <w:p>
      <w:pPr>
        <w:spacing w:after="80"/>
      </w:pPr>
      <w:r>
        <w:rPr>
          <w:color w:val="1C1917"/>
          <w:sz w:val="22"/>
        </w:rPr>
        <w:t>Modern businesses — especially small and mid-sized enterprises (SMEs) and fast-growing companies — struggle with operational fragmentation. Sales teams use one tool, the finance team uses another, the warehouse team works off spreadsheets, and HR has its own portal. The result is a constant, exhausting cycle of data re-entry, missed handoffs, delayed decisions, and hidden information. Nobody gets a clear picture of what is happening across the business at any given moment.</w:t>
      </w:r>
    </w:p>
    <w:p>
      <w:pPr>
        <w:spacing w:after="80"/>
      </w:pPr>
      <w:r>
        <w:rPr>
          <w:color w:val="1C1917"/>
          <w:sz w:val="22"/>
        </w:rPr>
        <w:t>Existing ERP solutions like SAP and Oracle are built for large enterprises and are notoriously expensive, rigid, and slow to implement. Lighter tools like QuickBooks or Zoho scratch the surface but leave critical operational gaps. There is a genuine, painful void in the market for a modern, intelligent, flow-first ERP that actually fits the way real businesses work.</w:t>
      </w:r>
    </w:p>
    <w:p>
      <w:pPr>
        <w:pStyle w:val="Heading2"/>
        <w:spacing w:before="200" w:after="80"/>
      </w:pPr>
      <w:r>
        <w:rPr>
          <w:b/>
          <w:color w:val="1A1A2E"/>
          <w:sz w:val="32"/>
        </w:rPr>
        <w:t>What Business Execution System (BES) Is</w:t>
      </w:r>
    </w:p>
    <w:p>
      <w:pPr>
        <w:spacing w:after="80"/>
      </w:pPr>
      <w:r>
        <w:rPr>
          <w:color w:val="1C1917"/>
          <w:sz w:val="22"/>
        </w:rPr>
        <w:t>Business Execution System (BES) (Business Execution System) is a next-generation, AI-ready ERP platform built on a flow-centric mental model. Instead of organizing the system around modules (Sales, Finance, HR), BES organizes everything around what a business actually does: Sell, Buy, Stock, Manage Money, Handle People, and Support Customers.</w:t>
      </w:r>
    </w:p>
    <w:p>
      <w:pPr>
        <w:spacing w:after="80"/>
      </w:pPr>
      <w:r>
        <w:rPr>
          <w:color w:val="1C1917"/>
          <w:sz w:val="22"/>
        </w:rPr>
        <w:t>The system is built on a robust, enterprise-grade technical foundation using FastAPI (Python) on the backend and a React/TypeScript Nx monorepo on the frontend. It is architected as a Core Kernel + Extension Plugins system — similar to how a modern operating system works — which means new modules can be added without touching existing ones.</w:t>
      </w:r>
    </w:p>
    <w:p>
      <w:pPr>
        <w:pStyle w:val="Heading2"/>
        <w:spacing w:before="200" w:after="80"/>
      </w:pPr>
      <w:r>
        <w:rPr>
          <w:b/>
          <w:color w:val="1A1A2E"/>
          <w:sz w:val="32"/>
        </w:rPr>
        <w:t>Why AI Is the Right Lever Here</w:t>
      </w:r>
    </w:p>
    <w:p>
      <w:pPr>
        <w:spacing w:after="80"/>
      </w:pPr>
      <w:r>
        <w:rPr>
          <w:color w:val="1C1917"/>
          <w:sz w:val="22"/>
        </w:rPr>
        <w:t>Traditional ERP systems force users to make decisions manually at every step. BES's architecture is designed from the ground up to embed AI into the workflow rather than bolting it on as an afterthought. The event bus, structured data layer, and flow-step model create natural AI injection points:</w:t>
      </w:r>
    </w:p>
    <w:p>
      <w:pPr>
        <w:pStyle w:val="ListBullet"/>
        <w:spacing w:after="40"/>
        <w:ind w:left="360"/>
      </w:pPr>
      <w:r>
        <w:rPr>
          <w:color w:val="1C1917"/>
          <w:sz w:val="22"/>
        </w:rPr>
        <w:t>Every workflow step produces structured, time-stamped, traceable data — exactly what AI needs.</w:t>
      </w:r>
    </w:p>
    <w:p>
      <w:pPr>
        <w:pStyle w:val="ListBullet"/>
        <w:spacing w:after="40"/>
        <w:ind w:left="360"/>
      </w:pPr>
      <w:r>
        <w:rPr>
          <w:color w:val="1C1917"/>
          <w:sz w:val="22"/>
        </w:rPr>
        <w:t>The event bus allows AI services to subscribe to business events (e.g. ORDER_CONFIRMED) and trigger intelligent actions without disrupting the core workflow.</w:t>
      </w:r>
    </w:p>
    <w:p>
      <w:pPr>
        <w:pStyle w:val="ListBullet"/>
        <w:spacing w:after="40"/>
        <w:ind w:left="360"/>
      </w:pPr>
      <w:r>
        <w:rPr>
          <w:color w:val="1C1917"/>
          <w:sz w:val="22"/>
        </w:rPr>
        <w:t>The subscription tier model allows AI features to be licensed incrementally — basic AI for Basic-tier customers, advanced AI for Pro/Premium.</w:t>
      </w:r>
    </w:p>
    <w:p>
      <w:pPr>
        <w:pStyle w:val="ListBullet"/>
        <w:spacing w:after="40"/>
        <w:ind w:left="360"/>
      </w:pPr>
      <w:r>
        <w:rPr>
          <w:color w:val="1C1917"/>
          <w:sz w:val="22"/>
        </w:rPr>
        <w:t>The RBAC and audit trail systems ensure AI decisions are always attributable, explainable, and overridable.</w:t>
      </w:r>
    </w:p>
    <w:p>
      <w:pPr>
        <w:pStyle w:val="Heading2"/>
        <w:spacing w:before="200" w:after="80"/>
      </w:pPr>
      <w:r>
        <w:rPr>
          <w:b/>
          <w:color w:val="1A1A2E"/>
          <w:sz w:val="32"/>
        </w:rPr>
        <w:t>Our Recommendation</w:t>
      </w:r>
    </w:p>
    <w:p>
      <w:pPr>
        <w:spacing w:after="80"/>
      </w:pPr>
      <w:r>
        <w:rPr>
          <w:color w:val="1C1917"/>
          <w:sz w:val="22"/>
        </w:rPr>
        <w:t>Based on our analysis of the prototype, technical architecture, and market opportunity, we recommend: Proceed to Pilot. The foundation is solid. The technical infrastructure is production-ready for a controlled deployment. The next step is to layer in AI-powered features — starting with demand forecasting, intelligent workflow routing, and anomaly detection in financial transactions — and validate them with a small cohort of paying customers before scaling broadly.</w:t>
      </w:r>
    </w:p>
    <w:p>
      <w:r>
        <w:br w:type="page"/>
      </w:r>
    </w:p>
    <w:p>
      <w:pPr>
        <w:pStyle w:val="Heading1"/>
        <w:spacing w:before="280" w:after="80"/>
      </w:pPr>
      <w:r>
        <w:rPr>
          <w:b/>
          <w:color w:val="1A1A2E"/>
          <w:sz w:val="44"/>
        </w:rPr>
        <w:t>2. Product Strategy and Opportunity Framing</w:t>
      </w:r>
    </w:p>
    <w:p>
      <w:pPr>
        <w:pStyle w:val="Heading2"/>
        <w:spacing w:before="200" w:after="80"/>
      </w:pPr>
      <w:r>
        <w:rPr>
          <w:b/>
          <w:color w:val="1A1A2E"/>
          <w:sz w:val="32"/>
        </w:rPr>
        <w:t>Product Vision</w:t>
      </w:r>
    </w:p>
    <w:p>
      <w:pPr>
        <w:spacing w:after="80"/>
      </w:pPr>
      <w:r>
        <w:rPr>
          <w:color w:val="1C1917"/>
          <w:sz w:val="22"/>
        </w:rPr>
        <w:t>Business Execution System (BES)'s vision is to become the operating system for SME and mid-market businesses — a single, intelligent platform that guides every team through their daily work, learns from every transaction, and proactively surfaces insights and recommendations that help businesses make faster, smarter decisions.</w:t>
      </w:r>
    </w:p>
    <w:p>
      <w:pPr>
        <w:pStyle w:val="Heading2"/>
        <w:spacing w:before="200" w:after="80"/>
      </w:pPr>
      <w:r>
        <w:rPr>
          <w:b/>
          <w:color w:val="1A1A2E"/>
          <w:sz w:val="32"/>
        </w:rPr>
        <w:t>Jobs-to-be-Done (JTBD) Analysis</w:t>
      </w:r>
    </w:p>
    <w:p>
      <w:pPr>
        <w:spacing w:after="80"/>
      </w:pPr>
      <w:r>
        <w:rPr>
          <w:color w:val="1C1917"/>
          <w:sz w:val="22"/>
        </w:rPr>
        <w:t>We identified four core JTBD statements that drive this product:</w:t>
      </w:r>
    </w:p>
    <w:p>
      <w:pPr>
        <w:pStyle w:val="ListBullet"/>
        <w:spacing w:after="40"/>
        <w:ind w:left="360"/>
      </w:pPr>
      <w:r>
        <w:rPr>
          <w:b/>
          <w:color w:val="1A1A2E"/>
          <w:sz w:val="22"/>
        </w:rPr>
        <w:t xml:space="preserve">JTBD-1 (Sales Manager): </w:t>
      </w:r>
      <w:r>
        <w:rPr>
          <w:color w:val="1C1917"/>
          <w:sz w:val="22"/>
        </w:rPr>
        <w:t>When I am managing our sales pipeline across multiple salespeople, I want to see exactly where each deal is and what needs attention today, so that I can keep revenue predictable and catch problems before they become losses.</w:t>
      </w:r>
    </w:p>
    <w:p>
      <w:pPr>
        <w:pStyle w:val="ListBullet"/>
        <w:spacing w:after="40"/>
        <w:ind w:left="360"/>
      </w:pPr>
      <w:r>
        <w:rPr>
          <w:b/>
          <w:color w:val="1A1A2E"/>
          <w:sz w:val="22"/>
        </w:rPr>
        <w:t xml:space="preserve">JTBD-2 (Finance Controller): </w:t>
      </w:r>
      <w:r>
        <w:rPr>
          <w:color w:val="1C1917"/>
          <w:sz w:val="22"/>
        </w:rPr>
        <w:t>When I am responsible for paying vendors on time, I want to match purchase orders against receipts and invoices automatically, so that I can avoid duplicate payments, catch discrepancies early, and maintain our vendor relationships.</w:t>
      </w:r>
    </w:p>
    <w:p>
      <w:pPr>
        <w:pStyle w:val="ListBullet"/>
        <w:spacing w:after="40"/>
        <w:ind w:left="360"/>
      </w:pPr>
      <w:r>
        <w:rPr>
          <w:b/>
          <w:color w:val="1A1A2E"/>
          <w:sz w:val="22"/>
        </w:rPr>
        <w:t xml:space="preserve">JTBD-3 (Warehouse Manager): </w:t>
      </w:r>
      <w:r>
        <w:rPr>
          <w:color w:val="1C1917"/>
          <w:sz w:val="22"/>
        </w:rPr>
        <w:t>When I am managing warehouse operations during peak season, I want real-time visibility into stock levels and pending shipments, so that I can allocate resources effectively and avoid stockouts or overstock situations.</w:t>
      </w:r>
    </w:p>
    <w:p>
      <w:pPr>
        <w:pStyle w:val="ListBullet"/>
        <w:spacing w:after="40"/>
        <w:ind w:left="360"/>
      </w:pPr>
      <w:r>
        <w:rPr>
          <w:b/>
          <w:color w:val="1A1A2E"/>
          <w:sz w:val="22"/>
        </w:rPr>
        <w:t xml:space="preserve">JTBD-4 (Business Owner): </w:t>
      </w:r>
      <w:r>
        <w:rPr>
          <w:color w:val="1C1917"/>
          <w:sz w:val="22"/>
        </w:rPr>
        <w:t>When I am responsible for the overall health of the business, I want a single dashboard that shows me what is happening across Sales, Finance, and Operations right now, so that I can make confident decisions without chasing data from multiple teams.</w:t>
      </w:r>
    </w:p>
    <w:p>
      <w:pPr>
        <w:pStyle w:val="Heading2"/>
        <w:spacing w:before="200" w:after="80"/>
      </w:pPr>
      <w:r>
        <w:rPr>
          <w:b/>
          <w:color w:val="1A1A2E"/>
          <w:sz w:val="32"/>
        </w:rPr>
        <w:t>Opportunity Framing — Why This Matters Now</w:t>
      </w:r>
    </w:p>
    <w:p>
      <w:pPr>
        <w:spacing w:after="80"/>
      </w:pPr>
      <w:r>
        <w:rPr>
          <w:color w:val="1C1917"/>
          <w:sz w:val="22"/>
        </w:rPr>
        <w:t>Why the problem is genuinely worth solving:</w:t>
      </w:r>
    </w:p>
    <w:p>
      <w:pPr>
        <w:pStyle w:val="ListBullet"/>
        <w:spacing w:after="40"/>
        <w:ind w:left="360"/>
      </w:pPr>
      <w:r>
        <w:rPr>
          <w:color w:val="1C1917"/>
          <w:sz w:val="22"/>
        </w:rPr>
        <w:t>The global ERP software market is projected to exceed USD 78 billion by 2026. SMEs remain critically underserved.</w:t>
      </w:r>
    </w:p>
    <w:p>
      <w:pPr>
        <w:pStyle w:val="ListBullet"/>
        <w:spacing w:after="40"/>
        <w:ind w:left="360"/>
      </w:pPr>
      <w:r>
        <w:rPr>
          <w:color w:val="1C1917"/>
          <w:sz w:val="22"/>
        </w:rPr>
        <w:t>Post-pandemic digital transformation has forced businesses to re-examine their operational tooling — the window for capturing new ERP customers is open.</w:t>
      </w:r>
    </w:p>
    <w:p>
      <w:pPr>
        <w:pStyle w:val="ListBullet"/>
        <w:spacing w:after="40"/>
        <w:ind w:left="360"/>
      </w:pPr>
      <w:r>
        <w:rPr>
          <w:color w:val="1C1917"/>
          <w:sz w:val="22"/>
        </w:rPr>
        <w:t>Advances in LLMs and structured AI APIs mean intelligent workflow automation is now achievable without custom ML model training — the cost and complexity barrier has dropped dramatically.</w:t>
      </w:r>
    </w:p>
    <w:p>
      <w:pPr>
        <w:pStyle w:val="ListBullet"/>
        <w:spacing w:after="40"/>
        <w:ind w:left="360"/>
      </w:pPr>
      <w:r>
        <w:rPr>
          <w:color w:val="1C1917"/>
          <w:sz w:val="22"/>
        </w:rPr>
        <w:t>The rise of multi-role, distributed work has made workflow handoffs more error-prone than ever — a problem BES's task system directly addresses.</w:t>
      </w:r>
    </w:p>
    <w:p>
      <w:pPr>
        <w:spacing w:after="80"/>
      </w:pPr>
      <w:r>
        <w:rPr>
          <w:color w:val="1C1917"/>
          <w:sz w:val="22"/>
        </w:rPr>
        <w:t>Why current alternatives are weak:</w:t>
      </w:r>
    </w:p>
    <w:p>
      <w:pPr>
        <w:pStyle w:val="ListBullet"/>
        <w:spacing w:after="40"/>
        <w:ind w:left="360"/>
      </w:pPr>
      <w:r>
        <w:rPr>
          <w:color w:val="1C1917"/>
          <w:sz w:val="22"/>
        </w:rPr>
        <w:t>SAP/Oracle: Too expensive and rigid. Implementation takes 12-24 months. SMEs cannot afford the consulting overhead.</w:t>
      </w:r>
    </w:p>
    <w:p>
      <w:pPr>
        <w:pStyle w:val="ListBullet"/>
        <w:spacing w:after="40"/>
        <w:ind w:left="360"/>
      </w:pPr>
      <w:r>
        <w:rPr>
          <w:color w:val="1C1917"/>
          <w:sz w:val="22"/>
        </w:rPr>
        <w:t>QuickBooks/Zoho: Useful for accounting but fragmented — no unified operational workflow view.</w:t>
      </w:r>
    </w:p>
    <w:p>
      <w:pPr>
        <w:pStyle w:val="ListBullet"/>
        <w:spacing w:after="40"/>
        <w:ind w:left="360"/>
      </w:pPr>
      <w:r>
        <w:rPr>
          <w:color w:val="1C1917"/>
          <w:sz w:val="22"/>
        </w:rPr>
        <w:t>Generic chatbots: Answer questions but don't execute workflows. Conversation tools, not operational systems.</w:t>
      </w:r>
    </w:p>
    <w:p>
      <w:pPr>
        <w:pStyle w:val="ListBullet"/>
        <w:spacing w:after="40"/>
        <w:ind w:left="360"/>
      </w:pPr>
      <w:r>
        <w:rPr>
          <w:color w:val="1C1917"/>
          <w:sz w:val="22"/>
        </w:rPr>
        <w:t>Point solutions (Salesforce + separate inventory + HR): Integration tax compounds over time, data remains siloed.</w:t>
      </w:r>
    </w:p>
    <w:p>
      <w:pPr>
        <w:spacing w:after="80"/>
      </w:pPr>
      <w:r>
        <w:rPr>
          <w:color w:val="1C1917"/>
          <w:sz w:val="22"/>
        </w:rPr>
        <w:t>Why AI strengthens this specific opportunity:</w:t>
      </w:r>
    </w:p>
    <w:p>
      <w:pPr>
        <w:pStyle w:val="ListBullet"/>
        <w:spacing w:after="40"/>
        <w:ind w:left="360"/>
      </w:pPr>
      <w:r>
        <w:rPr>
          <w:color w:val="1C1917"/>
          <w:sz w:val="22"/>
        </w:rPr>
        <w:t>Structured, traceable event data from every workflow step provides rich training signals without the labeling burden of unstructured data problems.</w:t>
      </w:r>
    </w:p>
    <w:p>
      <w:pPr>
        <w:pStyle w:val="ListBullet"/>
        <w:spacing w:after="40"/>
        <w:ind w:left="360"/>
      </w:pPr>
      <w:r>
        <w:rPr>
          <w:color w:val="1C1917"/>
          <w:sz w:val="22"/>
        </w:rPr>
        <w:t>Repeatable decision patterns (credit checks, stock reorder, invoice matching) are classic AI tasks — classification, threshold detection, anomaly scoring.</w:t>
      </w:r>
    </w:p>
    <w:p>
      <w:pPr>
        <w:pStyle w:val="ListBullet"/>
        <w:spacing w:after="40"/>
        <w:ind w:left="360"/>
      </w:pPr>
      <w:r>
        <w:rPr>
          <w:color w:val="1C1917"/>
          <w:sz w:val="22"/>
        </w:rPr>
        <w:t>The subscription tier model creates a clear commercial path: rule-based intelligence for Basic, predictive AI for Pro, agentic automation for Premium.</w:t>
      </w:r>
    </w:p>
    <w:p>
      <w:pPr>
        <w:pStyle w:val="Heading2"/>
        <w:spacing w:before="200" w:after="80"/>
      </w:pPr>
      <w:r>
        <w:rPr>
          <w:b/>
          <w:color w:val="1A1A2E"/>
          <w:sz w:val="32"/>
        </w:rPr>
        <w:t>AI Opportunity Matrix</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A1A2E"/>
          </w:tcPr>
          <w:p>
            <w:r>
              <w:rPr>
                <w:b/>
                <w:color w:val="FFFFFF"/>
                <w:sz w:val="20"/>
              </w:rPr>
              <w:t>AI Feature</w:t>
            </w:r>
          </w:p>
        </w:tc>
        <w:tc>
          <w:tcPr>
            <w:tcW w:type="dxa" w:w="1814"/>
            <w:shd w:val="clear" w:color="auto" w:fill="1A1A2E"/>
          </w:tcPr>
          <w:p>
            <w:r>
              <w:rPr>
                <w:b/>
                <w:color w:val="FFFFFF"/>
                <w:sz w:val="20"/>
              </w:rPr>
              <w:t>Business Value</w:t>
            </w:r>
          </w:p>
        </w:tc>
        <w:tc>
          <w:tcPr>
            <w:tcW w:type="dxa" w:w="1814"/>
            <w:shd w:val="clear" w:color="auto" w:fill="1A1A2E"/>
          </w:tcPr>
          <w:p>
            <w:r>
              <w:rPr>
                <w:b/>
                <w:color w:val="FFFFFF"/>
                <w:sz w:val="20"/>
              </w:rPr>
              <w:t>Tech Feasibility</w:t>
            </w:r>
          </w:p>
        </w:tc>
        <w:tc>
          <w:tcPr>
            <w:tcW w:type="dxa" w:w="1814"/>
            <w:shd w:val="clear" w:color="auto" w:fill="1A1A2E"/>
          </w:tcPr>
          <w:p>
            <w:r>
              <w:rPr>
                <w:b/>
                <w:color w:val="FFFFFF"/>
                <w:sz w:val="20"/>
              </w:rPr>
              <w:t>Data Availability</w:t>
            </w:r>
          </w:p>
        </w:tc>
        <w:tc>
          <w:tcPr>
            <w:tcW w:type="dxa" w:w="1814"/>
            <w:shd w:val="clear" w:color="auto" w:fill="1A1A2E"/>
          </w:tcPr>
          <w:p>
            <w:r>
              <w:rPr>
                <w:b/>
                <w:color w:val="FFFFFF"/>
                <w:sz w:val="20"/>
              </w:rPr>
              <w:t>Priority</w:t>
            </w:r>
          </w:p>
        </w:tc>
      </w:tr>
      <w:tr>
        <w:tc>
          <w:tcPr>
            <w:tcW w:type="dxa" w:w="1814"/>
          </w:tcPr>
          <w:p>
            <w:r>
              <w:rPr>
                <w:sz w:val="20"/>
              </w:rPr>
              <w:t>Intelligent Demand Forecasting</w:t>
            </w:r>
          </w:p>
        </w:tc>
        <w:tc>
          <w:tcPr>
            <w:tcW w:type="dxa" w:w="1814"/>
          </w:tcPr>
          <w:p>
            <w:r>
              <w:rPr>
                <w:sz w:val="20"/>
              </w:rPr>
              <w:t>High</w:t>
            </w:r>
          </w:p>
        </w:tc>
        <w:tc>
          <w:tcPr>
            <w:tcW w:type="dxa" w:w="1814"/>
          </w:tcPr>
          <w:p>
            <w:r>
              <w:rPr>
                <w:sz w:val="20"/>
              </w:rPr>
              <w:t>Medium</w:t>
            </w:r>
          </w:p>
        </w:tc>
        <w:tc>
          <w:tcPr>
            <w:tcW w:type="dxa" w:w="1814"/>
          </w:tcPr>
          <w:p>
            <w:r>
              <w:rPr>
                <w:sz w:val="20"/>
              </w:rPr>
              <w:t>High (order history)</w:t>
            </w:r>
          </w:p>
        </w:tc>
        <w:tc>
          <w:tcPr>
            <w:tcW w:type="dxa" w:w="1814"/>
          </w:tcPr>
          <w:p>
            <w:r>
              <w:rPr>
                <w:sz w:val="20"/>
              </w:rPr>
              <w:t>High</w:t>
            </w:r>
          </w:p>
        </w:tc>
      </w:tr>
      <w:tr>
        <w:tc>
          <w:tcPr>
            <w:tcW w:type="dxa" w:w="1814"/>
            <w:shd w:val="clear" w:color="auto" w:fill="F5F5F4"/>
          </w:tcPr>
          <w:p>
            <w:r>
              <w:rPr>
                <w:sz w:val="20"/>
              </w:rPr>
              <w:t>Invoice Anomaly Detection (3-Way Match)</w:t>
            </w:r>
          </w:p>
        </w:tc>
        <w:tc>
          <w:tcPr>
            <w:tcW w:type="dxa" w:w="1814"/>
            <w:shd w:val="clear" w:color="auto" w:fill="F5F5F4"/>
          </w:tcPr>
          <w:p>
            <w:r>
              <w:rPr>
                <w:sz w:val="20"/>
              </w:rPr>
              <w:t>High</w:t>
            </w:r>
          </w:p>
        </w:tc>
        <w:tc>
          <w:tcPr>
            <w:tcW w:type="dxa" w:w="1814"/>
            <w:shd w:val="clear" w:color="auto" w:fill="F5F5F4"/>
          </w:tcPr>
          <w:p>
            <w:r>
              <w:rPr>
                <w:sz w:val="20"/>
              </w:rPr>
              <w:t>High</w:t>
            </w:r>
          </w:p>
        </w:tc>
        <w:tc>
          <w:tcPr>
            <w:tcW w:type="dxa" w:w="1814"/>
            <w:shd w:val="clear" w:color="auto" w:fill="F5F5F4"/>
          </w:tcPr>
          <w:p>
            <w:r>
              <w:rPr>
                <w:sz w:val="20"/>
              </w:rPr>
              <w:t>High (finance + PO + GRN)</w:t>
            </w:r>
          </w:p>
        </w:tc>
        <w:tc>
          <w:tcPr>
            <w:tcW w:type="dxa" w:w="1814"/>
            <w:shd w:val="clear" w:color="auto" w:fill="F5F5F4"/>
          </w:tcPr>
          <w:p>
            <w:r>
              <w:rPr>
                <w:sz w:val="20"/>
              </w:rPr>
              <w:t>High</w:t>
            </w:r>
          </w:p>
        </w:tc>
      </w:tr>
      <w:tr>
        <w:tc>
          <w:tcPr>
            <w:tcW w:type="dxa" w:w="1814"/>
          </w:tcPr>
          <w:p>
            <w:r>
              <w:rPr>
                <w:sz w:val="20"/>
              </w:rPr>
              <w:t>Smart Credit Risk Scoring</w:t>
            </w:r>
          </w:p>
        </w:tc>
        <w:tc>
          <w:tcPr>
            <w:tcW w:type="dxa" w:w="1814"/>
          </w:tcPr>
          <w:p>
            <w:r>
              <w:rPr>
                <w:sz w:val="20"/>
              </w:rPr>
              <w:t>High</w:t>
            </w:r>
          </w:p>
        </w:tc>
        <w:tc>
          <w:tcPr>
            <w:tcW w:type="dxa" w:w="1814"/>
          </w:tcPr>
          <w:p>
            <w:r>
              <w:rPr>
                <w:sz w:val="20"/>
              </w:rPr>
              <w:t>High</w:t>
            </w:r>
          </w:p>
        </w:tc>
        <w:tc>
          <w:tcPr>
            <w:tcW w:type="dxa" w:w="1814"/>
          </w:tcPr>
          <w:p>
            <w:r>
              <w:rPr>
                <w:sz w:val="20"/>
              </w:rPr>
              <w:t>High (order/payment data)</w:t>
            </w:r>
          </w:p>
        </w:tc>
        <w:tc>
          <w:tcPr>
            <w:tcW w:type="dxa" w:w="1814"/>
          </w:tcPr>
          <w:p>
            <w:r>
              <w:rPr>
                <w:sz w:val="20"/>
              </w:rPr>
              <w:t>High</w:t>
            </w:r>
          </w:p>
        </w:tc>
      </w:tr>
      <w:tr>
        <w:tc>
          <w:tcPr>
            <w:tcW w:type="dxa" w:w="1814"/>
            <w:shd w:val="clear" w:color="auto" w:fill="F5F5F4"/>
          </w:tcPr>
          <w:p>
            <w:r>
              <w:rPr>
                <w:sz w:val="20"/>
              </w:rPr>
              <w:t>Workflow Routing Recommendations</w:t>
            </w:r>
          </w:p>
        </w:tc>
        <w:tc>
          <w:tcPr>
            <w:tcW w:type="dxa" w:w="1814"/>
            <w:shd w:val="clear" w:color="auto" w:fill="F5F5F4"/>
          </w:tcPr>
          <w:p>
            <w:r>
              <w:rPr>
                <w:sz w:val="20"/>
              </w:rPr>
              <w:t>Medium</w:t>
            </w:r>
          </w:p>
        </w:tc>
        <w:tc>
          <w:tcPr>
            <w:tcW w:type="dxa" w:w="1814"/>
            <w:shd w:val="clear" w:color="auto" w:fill="F5F5F4"/>
          </w:tcPr>
          <w:p>
            <w:r>
              <w:rPr>
                <w:sz w:val="20"/>
              </w:rPr>
              <w:t>High</w:t>
            </w:r>
          </w:p>
        </w:tc>
        <w:tc>
          <w:tcPr>
            <w:tcW w:type="dxa" w:w="1814"/>
            <w:shd w:val="clear" w:color="auto" w:fill="F5F5F4"/>
          </w:tcPr>
          <w:p>
            <w:r>
              <w:rPr>
                <w:sz w:val="20"/>
              </w:rPr>
              <w:t>High (flow step events)</w:t>
            </w:r>
          </w:p>
        </w:tc>
        <w:tc>
          <w:tcPr>
            <w:tcW w:type="dxa" w:w="1814"/>
            <w:shd w:val="clear" w:color="auto" w:fill="F5F5F4"/>
          </w:tcPr>
          <w:p>
            <w:r>
              <w:rPr>
                <w:sz w:val="20"/>
              </w:rPr>
              <w:t>High</w:t>
            </w:r>
          </w:p>
        </w:tc>
      </w:tr>
      <w:tr>
        <w:tc>
          <w:tcPr>
            <w:tcW w:type="dxa" w:w="1814"/>
          </w:tcPr>
          <w:p>
            <w:r>
              <w:rPr>
                <w:sz w:val="20"/>
              </w:rPr>
              <w:t>Predictive Stockout Alerts</w:t>
            </w:r>
          </w:p>
        </w:tc>
        <w:tc>
          <w:tcPr>
            <w:tcW w:type="dxa" w:w="1814"/>
          </w:tcPr>
          <w:p>
            <w:r>
              <w:rPr>
                <w:sz w:val="20"/>
              </w:rPr>
              <w:t>High</w:t>
            </w:r>
          </w:p>
        </w:tc>
        <w:tc>
          <w:tcPr>
            <w:tcW w:type="dxa" w:w="1814"/>
          </w:tcPr>
          <w:p>
            <w:r>
              <w:rPr>
                <w:sz w:val="20"/>
              </w:rPr>
              <w:t>Medium</w:t>
            </w:r>
          </w:p>
        </w:tc>
        <w:tc>
          <w:tcPr>
            <w:tcW w:type="dxa" w:w="1814"/>
          </w:tcPr>
          <w:p>
            <w:r>
              <w:rPr>
                <w:sz w:val="20"/>
              </w:rPr>
              <w:t>High (inventory movements)</w:t>
            </w:r>
          </w:p>
        </w:tc>
        <w:tc>
          <w:tcPr>
            <w:tcW w:type="dxa" w:w="1814"/>
          </w:tcPr>
          <w:p>
            <w:r>
              <w:rPr>
                <w:sz w:val="20"/>
              </w:rPr>
              <w:t>High</w:t>
            </w:r>
          </w:p>
        </w:tc>
      </w:tr>
      <w:tr>
        <w:tc>
          <w:tcPr>
            <w:tcW w:type="dxa" w:w="1814"/>
            <w:shd w:val="clear" w:color="auto" w:fill="F5F5F4"/>
          </w:tcPr>
          <w:p>
            <w:r>
              <w:rPr>
                <w:sz w:val="20"/>
              </w:rPr>
              <w:t>AI-assisted Quote/PRD Generation</w:t>
            </w:r>
          </w:p>
        </w:tc>
        <w:tc>
          <w:tcPr>
            <w:tcW w:type="dxa" w:w="1814"/>
            <w:shd w:val="clear" w:color="auto" w:fill="F5F5F4"/>
          </w:tcPr>
          <w:p>
            <w:r>
              <w:rPr>
                <w:sz w:val="20"/>
              </w:rPr>
              <w:t>Medium</w:t>
            </w:r>
          </w:p>
        </w:tc>
        <w:tc>
          <w:tcPr>
            <w:tcW w:type="dxa" w:w="1814"/>
            <w:shd w:val="clear" w:color="auto" w:fill="F5F5F4"/>
          </w:tcPr>
          <w:p>
            <w:r>
              <w:rPr>
                <w:sz w:val="20"/>
              </w:rPr>
              <w:t>High</w:t>
            </w:r>
          </w:p>
        </w:tc>
        <w:tc>
          <w:tcPr>
            <w:tcW w:type="dxa" w:w="1814"/>
            <w:shd w:val="clear" w:color="auto" w:fill="F5F5F4"/>
          </w:tcPr>
          <w:p>
            <w:r>
              <w:rPr>
                <w:sz w:val="20"/>
              </w:rPr>
              <w:t>Medium (product catalog)</w:t>
            </w:r>
          </w:p>
        </w:tc>
        <w:tc>
          <w:tcPr>
            <w:tcW w:type="dxa" w:w="1814"/>
            <w:shd w:val="clear" w:color="auto" w:fill="F5F5F4"/>
          </w:tcPr>
          <w:p>
            <w:r>
              <w:rPr>
                <w:sz w:val="20"/>
              </w:rPr>
              <w:t>Medium</w:t>
            </w:r>
          </w:p>
        </w:tc>
      </w:tr>
      <w:tr>
        <w:tc>
          <w:tcPr>
            <w:tcW w:type="dxa" w:w="1814"/>
          </w:tcPr>
          <w:p>
            <w:r>
              <w:rPr>
                <w:sz w:val="20"/>
              </w:rPr>
              <w:t>Natural Language ERP Query Interface</w:t>
            </w:r>
          </w:p>
        </w:tc>
        <w:tc>
          <w:tcPr>
            <w:tcW w:type="dxa" w:w="1814"/>
          </w:tcPr>
          <w:p>
            <w:r>
              <w:rPr>
                <w:sz w:val="20"/>
              </w:rPr>
              <w:t>Medium</w:t>
            </w:r>
          </w:p>
        </w:tc>
        <w:tc>
          <w:tcPr>
            <w:tcW w:type="dxa" w:w="1814"/>
          </w:tcPr>
          <w:p>
            <w:r>
              <w:rPr>
                <w:sz w:val="20"/>
              </w:rPr>
              <w:t>High</w:t>
            </w:r>
          </w:p>
        </w:tc>
        <w:tc>
          <w:tcPr>
            <w:tcW w:type="dxa" w:w="1814"/>
          </w:tcPr>
          <w:p>
            <w:r>
              <w:rPr>
                <w:sz w:val="20"/>
              </w:rPr>
              <w:t>High (structured DB)</w:t>
            </w:r>
          </w:p>
        </w:tc>
        <w:tc>
          <w:tcPr>
            <w:tcW w:type="dxa" w:w="1814"/>
          </w:tcPr>
          <w:p>
            <w:r>
              <w:rPr>
                <w:sz w:val="20"/>
              </w:rPr>
              <w:t>Medium for MVP</w:t>
            </w:r>
          </w:p>
        </w:tc>
      </w:tr>
      <w:tr>
        <w:tc>
          <w:tcPr>
            <w:tcW w:type="dxa" w:w="1814"/>
            <w:shd w:val="clear" w:color="auto" w:fill="F5F5F4"/>
          </w:tcPr>
          <w:p>
            <w:r>
              <w:rPr>
                <w:sz w:val="20"/>
              </w:rPr>
              <w:t>Automated 3-Way PO Matching</w:t>
            </w:r>
          </w:p>
        </w:tc>
        <w:tc>
          <w:tcPr>
            <w:tcW w:type="dxa" w:w="1814"/>
            <w:shd w:val="clear" w:color="auto" w:fill="F5F5F4"/>
          </w:tcPr>
          <w:p>
            <w:r>
              <w:rPr>
                <w:sz w:val="20"/>
              </w:rPr>
              <w:t>High</w:t>
            </w:r>
          </w:p>
        </w:tc>
        <w:tc>
          <w:tcPr>
            <w:tcW w:type="dxa" w:w="1814"/>
            <w:shd w:val="clear" w:color="auto" w:fill="F5F5F4"/>
          </w:tcPr>
          <w:p>
            <w:r>
              <w:rPr>
                <w:sz w:val="20"/>
              </w:rPr>
              <w:t>High</w:t>
            </w:r>
          </w:p>
        </w:tc>
        <w:tc>
          <w:tcPr>
            <w:tcW w:type="dxa" w:w="1814"/>
            <w:shd w:val="clear" w:color="auto" w:fill="F5F5F4"/>
          </w:tcPr>
          <w:p>
            <w:r>
              <w:rPr>
                <w:sz w:val="20"/>
              </w:rPr>
              <w:t>High (PO/GRN/Invoice)</w:t>
            </w:r>
          </w:p>
        </w:tc>
        <w:tc>
          <w:tcPr>
            <w:tcW w:type="dxa" w:w="1814"/>
            <w:shd w:val="clear" w:color="auto" w:fill="F5F5F4"/>
          </w:tcPr>
          <w:p>
            <w:r>
              <w:rPr>
                <w:sz w:val="20"/>
              </w:rPr>
              <w:t>High</w:t>
            </w:r>
          </w:p>
        </w:tc>
      </w:tr>
    </w:tbl>
    <w:p/>
    <w:p>
      <w:pPr>
        <w:pStyle w:val="Heading2"/>
        <w:spacing w:before="200" w:after="80"/>
      </w:pPr>
      <w:r>
        <w:rPr>
          <w:b/>
          <w:color w:val="1A1A2E"/>
          <w:sz w:val="32"/>
        </w:rPr>
        <w:t>Build vs. Buy vs. API Decision</w:t>
      </w:r>
    </w:p>
    <w:p>
      <w:pPr>
        <w:pStyle w:val="ListBullet"/>
        <w:spacing w:after="40"/>
        <w:ind w:left="360"/>
      </w:pPr>
      <w:r>
        <w:rPr>
          <w:b/>
          <w:color w:val="1A1A2E"/>
          <w:sz w:val="22"/>
        </w:rPr>
        <w:t xml:space="preserve">Extract (Buy/API): </w:t>
      </w:r>
      <w:r>
        <w:rPr>
          <w:color w:val="1C1917"/>
          <w:sz w:val="22"/>
        </w:rPr>
        <w:t>Use existing APIs (Google Document AI, AWS Textract, Azure Form Recognizer). Custom training is not needed for MVP — differentiation is in how we use extracted data.</w:t>
      </w:r>
    </w:p>
    <w:p>
      <w:pPr>
        <w:pStyle w:val="ListBullet"/>
        <w:spacing w:after="40"/>
        <w:ind w:left="360"/>
      </w:pPr>
      <w:r>
        <w:rPr>
          <w:b/>
          <w:color w:val="1A1A2E"/>
          <w:sz w:val="22"/>
        </w:rPr>
        <w:t xml:space="preserve">Predict (Build/Open Source): </w:t>
      </w:r>
      <w:r>
        <w:rPr>
          <w:color w:val="1C1917"/>
          <w:sz w:val="22"/>
        </w:rPr>
        <w:t>Use pre-trained model APIs or lightweight scikit-learn models trained on tenant data. Open-source models are sufficient at MVP stage.</w:t>
      </w:r>
    </w:p>
    <w:p>
      <w:pPr>
        <w:pStyle w:val="ListBullet"/>
        <w:spacing w:after="40"/>
        <w:ind w:left="360"/>
      </w:pPr>
      <w:r>
        <w:rPr>
          <w:b/>
          <w:color w:val="1A1A2E"/>
          <w:sz w:val="22"/>
        </w:rPr>
        <w:t xml:space="preserve">Orchestrate (Build — Core IP): </w:t>
      </w:r>
      <w:r>
        <w:rPr>
          <w:color w:val="1C1917"/>
          <w:sz w:val="22"/>
        </w:rPr>
        <w:t>Build in-house using the existing event bus and audit trail as the data foundation. This is the core IP that differentiates BES from generic AI tools.</w:t>
      </w:r>
    </w:p>
    <w:p>
      <w:pPr>
        <w:pStyle w:val="ListBullet"/>
        <w:spacing w:after="40"/>
        <w:ind w:left="360"/>
      </w:pPr>
      <w:r>
        <w:rPr>
          <w:b/>
          <w:color w:val="1A1A2E"/>
          <w:sz w:val="22"/>
        </w:rPr>
        <w:t xml:space="preserve">Generate (API): </w:t>
      </w:r>
      <w:r>
        <w:rPr>
          <w:color w:val="1C1917"/>
          <w:sz w:val="22"/>
        </w:rPr>
        <w:t>Use OpenAI/Anthropic/Google APIs. Prompt engineering + structured output parsing is sufficient. No fine-tuning needed for MVP.</w:t>
      </w:r>
    </w:p>
    <w:p>
      <w:pPr>
        <w:pStyle w:val="Heading2"/>
        <w:spacing w:before="200" w:after="80"/>
      </w:pPr>
      <w:r>
        <w:rPr>
          <w:b/>
          <w:color w:val="1A1A2E"/>
          <w:sz w:val="32"/>
        </w:rPr>
        <w:t>First Wedge: Where We Start</w:t>
      </w:r>
    </w:p>
    <w:p>
      <w:pPr>
        <w:spacing w:after="80"/>
      </w:pPr>
      <w:r>
        <w:rPr>
          <w:color w:val="1C1917"/>
          <w:sz w:val="22"/>
        </w:rPr>
        <w:t>We start with AI-powered Invoice Anomaly Detection and Smart Workflow Routing inside the Buy Flow. When a vendor invoice arrives, BES automatically matches it against the Purchase Order and Goods Receipt Note (3-way matching), flags discrepancies with confidence scores, and routes high-confidence matches for auto-approval while sending low-confidence cases to a human reviewer.</w:t>
      </w:r>
    </w:p>
    <w:p>
      <w:pPr>
        <w:spacing w:after="80"/>
      </w:pPr>
      <w:r>
        <w:rPr>
          <w:color w:val="1C1917"/>
          <w:sz w:val="22"/>
        </w:rPr>
        <w:t>This is narrow, valuable, and demonstrable. It reduces manual effort, prevents duplicate payments and fraud, and builds trust in AI recommendations before expanding scope.</w:t>
      </w:r>
    </w:p>
    <w:p>
      <w:r>
        <w:br w:type="page"/>
      </w:r>
    </w:p>
    <w:p>
      <w:pPr>
        <w:pStyle w:val="Heading1"/>
        <w:spacing w:before="280" w:after="80"/>
      </w:pPr>
      <w:r>
        <w:rPr>
          <w:b/>
          <w:color w:val="1A1A2E"/>
          <w:sz w:val="44"/>
        </w:rPr>
        <w:t>3. PM Artifact Pack</w:t>
      </w:r>
    </w:p>
    <w:p>
      <w:pPr>
        <w:pStyle w:val="Heading2"/>
        <w:spacing w:before="200" w:after="80"/>
      </w:pPr>
      <w:r>
        <w:rPr>
          <w:b/>
          <w:color w:val="1A1A2E"/>
          <w:sz w:val="32"/>
        </w:rPr>
        <w:t>Problem Statement</w:t>
      </w:r>
    </w:p>
    <w:p>
      <w:pPr>
        <w:spacing w:after="80"/>
      </w:pPr>
      <w:r>
        <w:rPr>
          <w:color w:val="1C1917"/>
          <w:sz w:val="22"/>
        </w:rPr>
        <w:t>Small and mid-sized enterprises lose significant time, money, and accuracy because their business operations are fragmented across disconnected tools and manual workflows. Finance teams manually match invoices against purchase orders. Sales managers chase order status across email threads. Warehouse teams work off spreadsheets that are always a step behind reality. Every cross-department handoff is a potential failure point. And when something goes wrong, nobody can trace exactly what happened and when. The problem is not that businesses lack software — they have too much software that does not talk to each other. What they lack is an intelligent operational nervous system.</w:t>
      </w:r>
    </w:p>
    <w:p>
      <w:pPr>
        <w:pStyle w:val="Heading2"/>
        <w:spacing w:before="200" w:after="80"/>
      </w:pPr>
      <w:r>
        <w:rPr>
          <w:b/>
          <w:color w:val="1A1A2E"/>
          <w:sz w:val="32"/>
        </w:rPr>
        <w:t>Product Vision Statement</w:t>
      </w:r>
    </w:p>
    <w:p>
      <w:pPr>
        <w:spacing w:after="80"/>
      </w:pPr>
      <w:r>
        <w:rPr>
          <w:color w:val="1C1917"/>
          <w:sz w:val="22"/>
        </w:rPr>
        <w:t>Business Execution System (BES) will become the operational brain of modern businesses — a platform where every workflow step is guided, every handoff is tracked, and every decision is informed by the full business picture. By 2027, BES will be the ERP of choice for 10,000+ SMEs who want the intelligence of an enterprise system without the enterprise price tag and complexity.</w:t>
      </w:r>
    </w:p>
    <w:p>
      <w:pPr>
        <w:pStyle w:val="Heading2"/>
        <w:spacing w:before="200" w:after="80"/>
      </w:pPr>
      <w:r>
        <w:rPr>
          <w:b/>
          <w:color w:val="1A1A2E"/>
          <w:sz w:val="32"/>
        </w:rPr>
        <w:t>PRD Summary</w:t>
      </w:r>
    </w:p>
    <w:p>
      <w:pPr>
        <w:spacing w:after="80"/>
      </w:pPr>
      <w:r>
        <w:rPr>
          <w:color w:val="1C1917"/>
          <w:sz w:val="22"/>
        </w:rPr>
        <w:t>User Problem: Operations fragmented across tools leads to manual errors, missed handoffs, and no unified view.</w:t>
      </w:r>
    </w:p>
    <w:p>
      <w:pPr>
        <w:spacing w:after="80"/>
      </w:pPr>
      <w:r>
        <w:rPr>
          <w:color w:val="1C1917"/>
          <w:sz w:val="22"/>
        </w:rPr>
        <w:t>Core Workflow: Flow-centric navigation → user picks a workflow (Sell/Buy/Stock) → guided step-by-step process → cross-module side effects via event bus → full audit trail.</w:t>
      </w:r>
    </w:p>
    <w:p>
      <w:pPr>
        <w:spacing w:after="80"/>
      </w:pPr>
      <w:r>
        <w:rPr>
          <w:color w:val="1C1917"/>
          <w:sz w:val="22"/>
        </w:rPr>
        <w:t>AI Role: Embedded at workflow transitions — anomaly detection, routing recommendations, intelligent alerts, demand forecasting. AI is a collaborator, not an autopilot.</w:t>
      </w:r>
    </w:p>
    <w:p>
      <w:pPr>
        <w:spacing w:after="80"/>
      </w:pPr>
      <w:r>
        <w:rPr>
          <w:color w:val="1C1917"/>
          <w:sz w:val="22"/>
        </w:rPr>
        <w:t>Risks: AI trust gap (users may not adopt recommendations), data quality (garbage-in = garbage-out), over-automation (removing human judgment from high-stakes decisions).</w:t>
      </w:r>
    </w:p>
    <w:p>
      <w:pPr>
        <w:spacing w:after="80"/>
      </w:pPr>
      <w:r>
        <w:rPr>
          <w:color w:val="1C1917"/>
          <w:sz w:val="22"/>
        </w:rPr>
        <w:t>Fallback Logic: Every AI recommendation includes a 'Review' option. Low-confidence scores automatically route to human reviewers. AI is never the final authority on financial transactions above configurable thresholds.</w:t>
      </w:r>
    </w:p>
    <w:p>
      <w:pPr>
        <w:pStyle w:val="Heading2"/>
        <w:spacing w:before="200" w:after="80"/>
      </w:pPr>
      <w:r>
        <w:rPr>
          <w:b/>
          <w:color w:val="1A1A2E"/>
          <w:sz w:val="32"/>
        </w:rPr>
        <w:t>Feature Prioritization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A1A2E"/>
          </w:tcPr>
          <w:p>
            <w:r>
              <w:rPr>
                <w:b/>
                <w:color w:val="FFFFFF"/>
                <w:sz w:val="20"/>
              </w:rPr>
              <w:t>Feature</w:t>
            </w:r>
          </w:p>
        </w:tc>
        <w:tc>
          <w:tcPr>
            <w:tcW w:type="dxa" w:w="1512"/>
            <w:shd w:val="clear" w:color="auto" w:fill="1A1A2E"/>
          </w:tcPr>
          <w:p>
            <w:r>
              <w:rPr>
                <w:b/>
                <w:color w:val="FFFFFF"/>
                <w:sz w:val="20"/>
              </w:rPr>
              <w:t>User Value</w:t>
            </w:r>
          </w:p>
        </w:tc>
        <w:tc>
          <w:tcPr>
            <w:tcW w:type="dxa" w:w="1512"/>
            <w:shd w:val="clear" w:color="auto" w:fill="1A1A2E"/>
          </w:tcPr>
          <w:p>
            <w:r>
              <w:rPr>
                <w:b/>
                <w:color w:val="FFFFFF"/>
                <w:sz w:val="20"/>
              </w:rPr>
              <w:t>Effort</w:t>
            </w:r>
          </w:p>
        </w:tc>
        <w:tc>
          <w:tcPr>
            <w:tcW w:type="dxa" w:w="1512"/>
            <w:shd w:val="clear" w:color="auto" w:fill="1A1A2E"/>
          </w:tcPr>
          <w:p>
            <w:r>
              <w:rPr>
                <w:b/>
                <w:color w:val="FFFFFF"/>
                <w:sz w:val="20"/>
              </w:rPr>
              <w:t>Confidence</w:t>
            </w:r>
          </w:p>
        </w:tc>
        <w:tc>
          <w:tcPr>
            <w:tcW w:type="dxa" w:w="1512"/>
            <w:shd w:val="clear" w:color="auto" w:fill="1A1A2E"/>
          </w:tcPr>
          <w:p>
            <w:r>
              <w:rPr>
                <w:b/>
                <w:color w:val="FFFFFF"/>
                <w:sz w:val="20"/>
              </w:rPr>
              <w:t>Priority</w:t>
            </w:r>
          </w:p>
        </w:tc>
        <w:tc>
          <w:tcPr>
            <w:tcW w:type="dxa" w:w="1512"/>
            <w:shd w:val="clear" w:color="auto" w:fill="1A1A2E"/>
          </w:tcPr>
          <w:p>
            <w:r>
              <w:rPr>
                <w:b/>
                <w:color w:val="FFFFFF"/>
                <w:sz w:val="20"/>
              </w:rPr>
              <w:t>Tier</w:t>
            </w:r>
          </w:p>
        </w:tc>
      </w:tr>
      <w:tr>
        <w:tc>
          <w:tcPr>
            <w:tcW w:type="dxa" w:w="1512"/>
          </w:tcPr>
          <w:p>
            <w:r>
              <w:rPr>
                <w:sz w:val="20"/>
              </w:rPr>
              <w:t>Sell Flow (Quote → Order → Ship → Invoice → Collect)</w:t>
            </w:r>
          </w:p>
        </w:tc>
        <w:tc>
          <w:tcPr>
            <w:tcW w:type="dxa" w:w="1512"/>
          </w:tcPr>
          <w:p>
            <w:r>
              <w:rPr>
                <w:sz w:val="20"/>
              </w:rPr>
              <w:t>High</w:t>
            </w:r>
          </w:p>
        </w:tc>
        <w:tc>
          <w:tcPr>
            <w:tcW w:type="dxa" w:w="1512"/>
          </w:tcPr>
          <w:p>
            <w:r>
              <w:rPr>
                <w:sz w:val="20"/>
              </w:rPr>
              <w:t>Completed</w:t>
            </w:r>
          </w:p>
        </w:tc>
        <w:tc>
          <w:tcPr>
            <w:tcW w:type="dxa" w:w="1512"/>
          </w:tcPr>
          <w:p>
            <w:r>
              <w:rPr>
                <w:sz w:val="20"/>
              </w:rPr>
              <w:t>High</w:t>
            </w:r>
          </w:p>
        </w:tc>
        <w:tc>
          <w:tcPr>
            <w:tcW w:type="dxa" w:w="1512"/>
          </w:tcPr>
          <w:p>
            <w:r>
              <w:rPr>
                <w:sz w:val="20"/>
              </w:rPr>
              <w:t>P0</w:t>
            </w:r>
          </w:p>
        </w:tc>
        <w:tc>
          <w:tcPr>
            <w:tcW w:type="dxa" w:w="1512"/>
          </w:tcPr>
          <w:p>
            <w:r>
              <w:rPr>
                <w:sz w:val="20"/>
              </w:rPr>
              <w:t>Basic</w:t>
            </w:r>
          </w:p>
        </w:tc>
      </w:tr>
      <w:tr>
        <w:tc>
          <w:tcPr>
            <w:tcW w:type="dxa" w:w="1512"/>
            <w:shd w:val="clear" w:color="auto" w:fill="F5F5F4"/>
          </w:tcPr>
          <w:p>
            <w:r>
              <w:rPr>
                <w:sz w:val="20"/>
              </w:rPr>
              <w:t>Buy Flow (PR → PO → GRN → Match → Pay)</w:t>
            </w:r>
          </w:p>
        </w:tc>
        <w:tc>
          <w:tcPr>
            <w:tcW w:type="dxa" w:w="1512"/>
            <w:shd w:val="clear" w:color="auto" w:fill="F5F5F4"/>
          </w:tcPr>
          <w:p>
            <w:r>
              <w:rPr>
                <w:sz w:val="20"/>
              </w:rPr>
              <w:t>High</w:t>
            </w:r>
          </w:p>
        </w:tc>
        <w:tc>
          <w:tcPr>
            <w:tcW w:type="dxa" w:w="1512"/>
            <w:shd w:val="clear" w:color="auto" w:fill="F5F5F4"/>
          </w:tcPr>
          <w:p>
            <w:r>
              <w:rPr>
                <w:sz w:val="20"/>
              </w:rPr>
              <w:t>Completed</w:t>
            </w:r>
          </w:p>
        </w:tc>
        <w:tc>
          <w:tcPr>
            <w:tcW w:type="dxa" w:w="1512"/>
            <w:shd w:val="clear" w:color="auto" w:fill="F5F5F4"/>
          </w:tcPr>
          <w:p>
            <w:r>
              <w:rPr>
                <w:sz w:val="20"/>
              </w:rPr>
              <w:t>High</w:t>
            </w:r>
          </w:p>
        </w:tc>
        <w:tc>
          <w:tcPr>
            <w:tcW w:type="dxa" w:w="1512"/>
            <w:shd w:val="clear" w:color="auto" w:fill="F5F5F4"/>
          </w:tcPr>
          <w:p>
            <w:r>
              <w:rPr>
                <w:sz w:val="20"/>
              </w:rPr>
              <w:t>P0</w:t>
            </w:r>
          </w:p>
        </w:tc>
        <w:tc>
          <w:tcPr>
            <w:tcW w:type="dxa" w:w="1512"/>
            <w:shd w:val="clear" w:color="auto" w:fill="F5F5F4"/>
          </w:tcPr>
          <w:p>
            <w:r>
              <w:rPr>
                <w:sz w:val="20"/>
              </w:rPr>
              <w:t>Basic</w:t>
            </w:r>
          </w:p>
        </w:tc>
      </w:tr>
      <w:tr>
        <w:tc>
          <w:tcPr>
            <w:tcW w:type="dxa" w:w="1512"/>
          </w:tcPr>
          <w:p>
            <w:r>
              <w:rPr>
                <w:sz w:val="20"/>
              </w:rPr>
              <w:t>Stock Flow (Count → Adjust → Transfer → Reorder)</w:t>
            </w:r>
          </w:p>
        </w:tc>
        <w:tc>
          <w:tcPr>
            <w:tcW w:type="dxa" w:w="1512"/>
          </w:tcPr>
          <w:p>
            <w:r>
              <w:rPr>
                <w:sz w:val="20"/>
              </w:rPr>
              <w:t>High</w:t>
            </w:r>
          </w:p>
        </w:tc>
        <w:tc>
          <w:tcPr>
            <w:tcW w:type="dxa" w:w="1512"/>
          </w:tcPr>
          <w:p>
            <w:r>
              <w:rPr>
                <w:sz w:val="20"/>
              </w:rPr>
              <w:t>In Progress</w:t>
            </w:r>
          </w:p>
        </w:tc>
        <w:tc>
          <w:tcPr>
            <w:tcW w:type="dxa" w:w="1512"/>
          </w:tcPr>
          <w:p>
            <w:r>
              <w:rPr>
                <w:sz w:val="20"/>
              </w:rPr>
              <w:t>High</w:t>
            </w:r>
          </w:p>
        </w:tc>
        <w:tc>
          <w:tcPr>
            <w:tcW w:type="dxa" w:w="1512"/>
          </w:tcPr>
          <w:p>
            <w:r>
              <w:rPr>
                <w:sz w:val="20"/>
              </w:rPr>
              <w:t>P0</w:t>
            </w:r>
          </w:p>
        </w:tc>
        <w:tc>
          <w:tcPr>
            <w:tcW w:type="dxa" w:w="1512"/>
          </w:tcPr>
          <w:p>
            <w:r>
              <w:rPr>
                <w:sz w:val="20"/>
              </w:rPr>
              <w:t>Basic</w:t>
            </w:r>
          </w:p>
        </w:tc>
      </w:tr>
      <w:tr>
        <w:tc>
          <w:tcPr>
            <w:tcW w:type="dxa" w:w="1512"/>
            <w:shd w:val="clear" w:color="auto" w:fill="F5F5F4"/>
          </w:tcPr>
          <w:p>
            <w:r>
              <w:rPr>
                <w:sz w:val="20"/>
              </w:rPr>
              <w:t>Core RBAC, Multi-Tenancy, Event Bus</w:t>
            </w:r>
          </w:p>
        </w:tc>
        <w:tc>
          <w:tcPr>
            <w:tcW w:type="dxa" w:w="1512"/>
            <w:shd w:val="clear" w:color="auto" w:fill="F5F5F4"/>
          </w:tcPr>
          <w:p>
            <w:r>
              <w:rPr>
                <w:sz w:val="20"/>
              </w:rPr>
              <w:t>High</w:t>
            </w:r>
          </w:p>
        </w:tc>
        <w:tc>
          <w:tcPr>
            <w:tcW w:type="dxa" w:w="1512"/>
            <w:shd w:val="clear" w:color="auto" w:fill="F5F5F4"/>
          </w:tcPr>
          <w:p>
            <w:r>
              <w:rPr>
                <w:sz w:val="20"/>
              </w:rPr>
              <w:t>Completed</w:t>
            </w:r>
          </w:p>
        </w:tc>
        <w:tc>
          <w:tcPr>
            <w:tcW w:type="dxa" w:w="1512"/>
            <w:shd w:val="clear" w:color="auto" w:fill="F5F5F4"/>
          </w:tcPr>
          <w:p>
            <w:r>
              <w:rPr>
                <w:sz w:val="20"/>
              </w:rPr>
              <w:t>High</w:t>
            </w:r>
          </w:p>
        </w:tc>
        <w:tc>
          <w:tcPr>
            <w:tcW w:type="dxa" w:w="1512"/>
            <w:shd w:val="clear" w:color="auto" w:fill="F5F5F4"/>
          </w:tcPr>
          <w:p>
            <w:r>
              <w:rPr>
                <w:sz w:val="20"/>
              </w:rPr>
              <w:t>P0</w:t>
            </w:r>
          </w:p>
        </w:tc>
        <w:tc>
          <w:tcPr>
            <w:tcW w:type="dxa" w:w="1512"/>
            <w:shd w:val="clear" w:color="auto" w:fill="F5F5F4"/>
          </w:tcPr>
          <w:p>
            <w:r>
              <w:rPr>
                <w:sz w:val="20"/>
              </w:rPr>
              <w:t>Basic</w:t>
            </w:r>
          </w:p>
        </w:tc>
      </w:tr>
      <w:tr>
        <w:tc>
          <w:tcPr>
            <w:tcW w:type="dxa" w:w="1512"/>
          </w:tcPr>
          <w:p>
            <w:r>
              <w:rPr>
                <w:sz w:val="20"/>
              </w:rPr>
              <w:t>AI: 3-Way Invoice Matching + Anomaly Detection</w:t>
            </w:r>
          </w:p>
        </w:tc>
        <w:tc>
          <w:tcPr>
            <w:tcW w:type="dxa" w:w="1512"/>
          </w:tcPr>
          <w:p>
            <w:r>
              <w:rPr>
                <w:sz w:val="20"/>
              </w:rPr>
              <w:t>High</w:t>
            </w:r>
          </w:p>
        </w:tc>
        <w:tc>
          <w:tcPr>
            <w:tcW w:type="dxa" w:w="1512"/>
          </w:tcPr>
          <w:p>
            <w:r>
              <w:rPr>
                <w:sz w:val="20"/>
              </w:rPr>
              <w:t>Medium</w:t>
            </w:r>
          </w:p>
        </w:tc>
        <w:tc>
          <w:tcPr>
            <w:tcW w:type="dxa" w:w="1512"/>
          </w:tcPr>
          <w:p>
            <w:r>
              <w:rPr>
                <w:sz w:val="20"/>
              </w:rPr>
              <w:t>High</w:t>
            </w:r>
          </w:p>
        </w:tc>
        <w:tc>
          <w:tcPr>
            <w:tcW w:type="dxa" w:w="1512"/>
          </w:tcPr>
          <w:p>
            <w:r>
              <w:rPr>
                <w:sz w:val="20"/>
              </w:rPr>
              <w:t>P1</w:t>
            </w:r>
          </w:p>
        </w:tc>
        <w:tc>
          <w:tcPr>
            <w:tcW w:type="dxa" w:w="1512"/>
          </w:tcPr>
          <w:p>
            <w:r>
              <w:rPr>
                <w:sz w:val="20"/>
              </w:rPr>
              <w:t>Pro</w:t>
            </w:r>
          </w:p>
        </w:tc>
      </w:tr>
      <w:tr>
        <w:tc>
          <w:tcPr>
            <w:tcW w:type="dxa" w:w="1512"/>
            <w:shd w:val="clear" w:color="auto" w:fill="F5F5F4"/>
          </w:tcPr>
          <w:p>
            <w:r>
              <w:rPr>
                <w:sz w:val="20"/>
              </w:rPr>
              <w:t>AI: Demand Forecasting for Inventory</w:t>
            </w:r>
          </w:p>
        </w:tc>
        <w:tc>
          <w:tcPr>
            <w:tcW w:type="dxa" w:w="1512"/>
            <w:shd w:val="clear" w:color="auto" w:fill="F5F5F4"/>
          </w:tcPr>
          <w:p>
            <w:r>
              <w:rPr>
                <w:sz w:val="20"/>
              </w:rPr>
              <w:t>High</w:t>
            </w:r>
          </w:p>
        </w:tc>
        <w:tc>
          <w:tcPr>
            <w:tcW w:type="dxa" w:w="1512"/>
            <w:shd w:val="clear" w:color="auto" w:fill="F5F5F4"/>
          </w:tcPr>
          <w:p>
            <w:r>
              <w:rPr>
                <w:sz w:val="20"/>
              </w:rPr>
              <w:t>Medium</w:t>
            </w:r>
          </w:p>
        </w:tc>
        <w:tc>
          <w:tcPr>
            <w:tcW w:type="dxa" w:w="1512"/>
            <w:shd w:val="clear" w:color="auto" w:fill="F5F5F4"/>
          </w:tcPr>
          <w:p>
            <w:r>
              <w:rPr>
                <w:sz w:val="20"/>
              </w:rPr>
              <w:t>Medium</w:t>
            </w:r>
          </w:p>
        </w:tc>
        <w:tc>
          <w:tcPr>
            <w:tcW w:type="dxa" w:w="1512"/>
            <w:shd w:val="clear" w:color="auto" w:fill="F5F5F4"/>
          </w:tcPr>
          <w:p>
            <w:r>
              <w:rPr>
                <w:sz w:val="20"/>
              </w:rPr>
              <w:t>P1</w:t>
            </w:r>
          </w:p>
        </w:tc>
        <w:tc>
          <w:tcPr>
            <w:tcW w:type="dxa" w:w="1512"/>
            <w:shd w:val="clear" w:color="auto" w:fill="F5F5F4"/>
          </w:tcPr>
          <w:p>
            <w:r>
              <w:rPr>
                <w:sz w:val="20"/>
              </w:rPr>
              <w:t>Pro</w:t>
            </w:r>
          </w:p>
        </w:tc>
      </w:tr>
      <w:tr>
        <w:tc>
          <w:tcPr>
            <w:tcW w:type="dxa" w:w="1512"/>
          </w:tcPr>
          <w:p>
            <w:r>
              <w:rPr>
                <w:sz w:val="20"/>
              </w:rPr>
              <w:t>AI: Smart Workflow Routing</w:t>
            </w:r>
          </w:p>
        </w:tc>
        <w:tc>
          <w:tcPr>
            <w:tcW w:type="dxa" w:w="1512"/>
          </w:tcPr>
          <w:p>
            <w:r>
              <w:rPr>
                <w:sz w:val="20"/>
              </w:rPr>
              <w:t>Medium</w:t>
            </w:r>
          </w:p>
        </w:tc>
        <w:tc>
          <w:tcPr>
            <w:tcW w:type="dxa" w:w="1512"/>
          </w:tcPr>
          <w:p>
            <w:r>
              <w:rPr>
                <w:sz w:val="20"/>
              </w:rPr>
              <w:t>Low</w:t>
            </w:r>
          </w:p>
        </w:tc>
        <w:tc>
          <w:tcPr>
            <w:tcW w:type="dxa" w:w="1512"/>
          </w:tcPr>
          <w:p>
            <w:r>
              <w:rPr>
                <w:sz w:val="20"/>
              </w:rPr>
              <w:t>High</w:t>
            </w:r>
          </w:p>
        </w:tc>
        <w:tc>
          <w:tcPr>
            <w:tcW w:type="dxa" w:w="1512"/>
          </w:tcPr>
          <w:p>
            <w:r>
              <w:rPr>
                <w:sz w:val="20"/>
              </w:rPr>
              <w:t>P1</w:t>
            </w:r>
          </w:p>
        </w:tc>
        <w:tc>
          <w:tcPr>
            <w:tcW w:type="dxa" w:w="1512"/>
          </w:tcPr>
          <w:p>
            <w:r>
              <w:rPr>
                <w:sz w:val="20"/>
              </w:rPr>
              <w:t>Pro</w:t>
            </w:r>
          </w:p>
        </w:tc>
      </w:tr>
      <w:tr>
        <w:tc>
          <w:tcPr>
            <w:tcW w:type="dxa" w:w="1512"/>
            <w:shd w:val="clear" w:color="auto" w:fill="F5F5F4"/>
          </w:tcPr>
          <w:p>
            <w:r>
              <w:rPr>
                <w:sz w:val="20"/>
              </w:rPr>
              <w:t>AI: Natural Language ERP Assistant</w:t>
            </w:r>
          </w:p>
        </w:tc>
        <w:tc>
          <w:tcPr>
            <w:tcW w:type="dxa" w:w="1512"/>
            <w:shd w:val="clear" w:color="auto" w:fill="F5F5F4"/>
          </w:tcPr>
          <w:p>
            <w:r>
              <w:rPr>
                <w:sz w:val="20"/>
              </w:rPr>
              <w:t>Medium</w:t>
            </w:r>
          </w:p>
        </w:tc>
        <w:tc>
          <w:tcPr>
            <w:tcW w:type="dxa" w:w="1512"/>
            <w:shd w:val="clear" w:color="auto" w:fill="F5F5F4"/>
          </w:tcPr>
          <w:p>
            <w:r>
              <w:rPr>
                <w:sz w:val="20"/>
              </w:rPr>
              <w:t>High</w:t>
            </w:r>
          </w:p>
        </w:tc>
        <w:tc>
          <w:tcPr>
            <w:tcW w:type="dxa" w:w="1512"/>
            <w:shd w:val="clear" w:color="auto" w:fill="F5F5F4"/>
          </w:tcPr>
          <w:p>
            <w:r>
              <w:rPr>
                <w:sz w:val="20"/>
              </w:rPr>
              <w:t>Medium</w:t>
            </w:r>
          </w:p>
        </w:tc>
        <w:tc>
          <w:tcPr>
            <w:tcW w:type="dxa" w:w="1512"/>
            <w:shd w:val="clear" w:color="auto" w:fill="F5F5F4"/>
          </w:tcPr>
          <w:p>
            <w:r>
              <w:rPr>
                <w:sz w:val="20"/>
              </w:rPr>
              <w:t>P2</w:t>
            </w:r>
          </w:p>
        </w:tc>
        <w:tc>
          <w:tcPr>
            <w:tcW w:type="dxa" w:w="1512"/>
            <w:shd w:val="clear" w:color="auto" w:fill="F5F5F4"/>
          </w:tcPr>
          <w:p>
            <w:r>
              <w:rPr>
                <w:sz w:val="20"/>
              </w:rPr>
              <w:t>Premium</w:t>
            </w:r>
          </w:p>
        </w:tc>
      </w:tr>
      <w:tr>
        <w:tc>
          <w:tcPr>
            <w:tcW w:type="dxa" w:w="1512"/>
          </w:tcPr>
          <w:p>
            <w:r>
              <w:rPr>
                <w:sz w:val="20"/>
              </w:rPr>
              <w:t>AI: Predictive Credit Risk Scoring</w:t>
            </w:r>
          </w:p>
        </w:tc>
        <w:tc>
          <w:tcPr>
            <w:tcW w:type="dxa" w:w="1512"/>
          </w:tcPr>
          <w:p>
            <w:r>
              <w:rPr>
                <w:sz w:val="20"/>
              </w:rPr>
              <w:t>High</w:t>
            </w:r>
          </w:p>
        </w:tc>
        <w:tc>
          <w:tcPr>
            <w:tcW w:type="dxa" w:w="1512"/>
          </w:tcPr>
          <w:p>
            <w:r>
              <w:rPr>
                <w:sz w:val="20"/>
              </w:rPr>
              <w:t>Medium</w:t>
            </w:r>
          </w:p>
        </w:tc>
        <w:tc>
          <w:tcPr>
            <w:tcW w:type="dxa" w:w="1512"/>
          </w:tcPr>
          <w:p>
            <w:r>
              <w:rPr>
                <w:sz w:val="20"/>
              </w:rPr>
              <w:t>Medium</w:t>
            </w:r>
          </w:p>
        </w:tc>
        <w:tc>
          <w:tcPr>
            <w:tcW w:type="dxa" w:w="1512"/>
          </w:tcPr>
          <w:p>
            <w:r>
              <w:rPr>
                <w:sz w:val="20"/>
              </w:rPr>
              <w:t>P2</w:t>
            </w:r>
          </w:p>
        </w:tc>
        <w:tc>
          <w:tcPr>
            <w:tcW w:type="dxa" w:w="1512"/>
          </w:tcPr>
          <w:p>
            <w:r>
              <w:rPr>
                <w:sz w:val="20"/>
              </w:rPr>
              <w:t>Pro/Premium</w:t>
            </w:r>
          </w:p>
        </w:tc>
      </w:tr>
      <w:tr>
        <w:tc>
          <w:tcPr>
            <w:tcW w:type="dxa" w:w="1512"/>
            <w:shd w:val="clear" w:color="auto" w:fill="F5F5F4"/>
          </w:tcPr>
          <w:p>
            <w:r>
              <w:rPr>
                <w:sz w:val="20"/>
              </w:rPr>
              <w:t>Pipeline Editor (Tenant Workflow Customization)</w:t>
            </w:r>
          </w:p>
        </w:tc>
        <w:tc>
          <w:tcPr>
            <w:tcW w:type="dxa" w:w="1512"/>
            <w:shd w:val="clear" w:color="auto" w:fill="F5F5F4"/>
          </w:tcPr>
          <w:p>
            <w:r>
              <w:rPr>
                <w:sz w:val="20"/>
              </w:rPr>
              <w:t>High</w:t>
            </w:r>
          </w:p>
        </w:tc>
        <w:tc>
          <w:tcPr>
            <w:tcW w:type="dxa" w:w="1512"/>
            <w:shd w:val="clear" w:color="auto" w:fill="F5F5F4"/>
          </w:tcPr>
          <w:p>
            <w:r>
              <w:rPr>
                <w:sz w:val="20"/>
              </w:rPr>
              <w:t>Completed</w:t>
            </w:r>
          </w:p>
        </w:tc>
        <w:tc>
          <w:tcPr>
            <w:tcW w:type="dxa" w:w="1512"/>
            <w:shd w:val="clear" w:color="auto" w:fill="F5F5F4"/>
          </w:tcPr>
          <w:p>
            <w:r>
              <w:rPr>
                <w:sz w:val="20"/>
              </w:rPr>
              <w:t>High</w:t>
            </w:r>
          </w:p>
        </w:tc>
        <w:tc>
          <w:tcPr>
            <w:tcW w:type="dxa" w:w="1512"/>
            <w:shd w:val="clear" w:color="auto" w:fill="F5F5F4"/>
          </w:tcPr>
          <w:p>
            <w:r>
              <w:rPr>
                <w:sz w:val="20"/>
              </w:rPr>
              <w:t>P1</w:t>
            </w:r>
          </w:p>
        </w:tc>
        <w:tc>
          <w:tcPr>
            <w:tcW w:type="dxa" w:w="1512"/>
            <w:shd w:val="clear" w:color="auto" w:fill="F5F5F4"/>
          </w:tcPr>
          <w:p>
            <w:r>
              <w:rPr>
                <w:sz w:val="20"/>
              </w:rPr>
              <w:t>Pro</w:t>
            </w:r>
          </w:p>
        </w:tc>
      </w:tr>
      <w:tr>
        <w:tc>
          <w:tcPr>
            <w:tcW w:type="dxa" w:w="1512"/>
          </w:tcPr>
          <w:p>
            <w:r>
              <w:rPr>
                <w:sz w:val="20"/>
              </w:rPr>
              <w:t>Document Generation (PDF invoices, POs)</w:t>
            </w:r>
          </w:p>
        </w:tc>
        <w:tc>
          <w:tcPr>
            <w:tcW w:type="dxa" w:w="1512"/>
          </w:tcPr>
          <w:p>
            <w:r>
              <w:rPr>
                <w:sz w:val="20"/>
              </w:rPr>
              <w:t>Medium</w:t>
            </w:r>
          </w:p>
        </w:tc>
        <w:tc>
          <w:tcPr>
            <w:tcW w:type="dxa" w:w="1512"/>
          </w:tcPr>
          <w:p>
            <w:r>
              <w:rPr>
                <w:sz w:val="20"/>
              </w:rPr>
              <w:t>In Progress</w:t>
            </w:r>
          </w:p>
        </w:tc>
        <w:tc>
          <w:tcPr>
            <w:tcW w:type="dxa" w:w="1512"/>
          </w:tcPr>
          <w:p>
            <w:r>
              <w:rPr>
                <w:sz w:val="20"/>
              </w:rPr>
              <w:t>High</w:t>
            </w:r>
          </w:p>
        </w:tc>
        <w:tc>
          <w:tcPr>
            <w:tcW w:type="dxa" w:w="1512"/>
          </w:tcPr>
          <w:p>
            <w:r>
              <w:rPr>
                <w:sz w:val="20"/>
              </w:rPr>
              <w:t>P1</w:t>
            </w:r>
          </w:p>
        </w:tc>
        <w:tc>
          <w:tcPr>
            <w:tcW w:type="dxa" w:w="1512"/>
          </w:tcPr>
          <w:p>
            <w:r>
              <w:rPr>
                <w:sz w:val="20"/>
              </w:rPr>
              <w:t>Basic</w:t>
            </w:r>
          </w:p>
        </w:tc>
      </w:tr>
    </w:tbl>
    <w:p/>
    <w:p>
      <w:pPr>
        <w:pStyle w:val="Heading2"/>
        <w:spacing w:before="200" w:after="80"/>
      </w:pPr>
      <w:r>
        <w:rPr>
          <w:b/>
          <w:color w:val="1A1A2E"/>
          <w:sz w:val="32"/>
        </w:rPr>
        <w:t>MVP Definition</w:t>
      </w:r>
    </w:p>
    <w:p>
      <w:pPr>
        <w:spacing w:after="80"/>
      </w:pPr>
      <w:r>
        <w:rPr>
          <w:color w:val="1C1917"/>
          <w:sz w:val="22"/>
        </w:rPr>
        <w:t>The MVP of Business Execution System (BES) has been built and is functional. It demonstrates that the platform can execute the core Sell flow end-to-end: from creating a customer quotation through to collecting payment, with all cross-module side effects (inventory reservation, finance journal posting) working correctly via the event bus.</w:t>
      </w:r>
    </w:p>
    <w:p>
      <w:pPr>
        <w:spacing w:after="80"/>
      </w:pPr>
      <w:r>
        <w:rPr>
          <w:color w:val="1C1917"/>
          <w:sz w:val="22"/>
        </w:rPr>
        <w:t>The MVP is successful if it proves:</w:t>
      </w:r>
    </w:p>
    <w:p>
      <w:pPr>
        <w:pStyle w:val="ListBullet"/>
        <w:spacing w:after="40"/>
        <w:ind w:left="360"/>
      </w:pPr>
      <w:r>
        <w:rPr>
          <w:color w:val="1C1917"/>
          <w:sz w:val="22"/>
        </w:rPr>
        <w:t>A sales rep can complete the entire Sell flow (5 steps) without leaving the platform or touching a spreadsheet.</w:t>
      </w:r>
    </w:p>
    <w:p>
      <w:pPr>
        <w:pStyle w:val="ListBullet"/>
        <w:spacing w:after="40"/>
        <w:ind w:left="360"/>
      </w:pPr>
      <w:r>
        <w:rPr>
          <w:color w:val="1C1917"/>
          <w:sz w:val="22"/>
        </w:rPr>
        <w:t>Financial amounts are calculated correctly to 4 decimal places with Decimal precision — zero floating-point errors.</w:t>
      </w:r>
    </w:p>
    <w:p>
      <w:pPr>
        <w:pStyle w:val="ListBullet"/>
        <w:spacing w:after="40"/>
        <w:ind w:left="360"/>
      </w:pPr>
      <w:r>
        <w:rPr>
          <w:color w:val="1C1917"/>
          <w:sz w:val="22"/>
        </w:rPr>
        <w:t>A warehouse manager sees a task in their 'My Tasks' inbox when an order is confirmed — the handoff works.</w:t>
      </w:r>
    </w:p>
    <w:p>
      <w:pPr>
        <w:pStyle w:val="ListBullet"/>
        <w:spacing w:after="40"/>
        <w:ind w:left="360"/>
      </w:pPr>
      <w:r>
        <w:rPr>
          <w:color w:val="1C1917"/>
          <w:sz w:val="22"/>
        </w:rPr>
        <w:t>The RBAC system prevents unauthorized users from accessing data they should not see.</w:t>
      </w:r>
    </w:p>
    <w:p>
      <w:pPr>
        <w:pStyle w:val="ListBullet"/>
        <w:spacing w:after="40"/>
        <w:ind w:left="360"/>
      </w:pPr>
      <w:r>
        <w:rPr>
          <w:color w:val="1C1917"/>
          <w:sz w:val="22"/>
        </w:rPr>
        <w:t>The platform correctly applies the subscription tier — locking Pro/Premium features for Basic-tier tenants with a clear upgrade prompt.</w:t>
      </w:r>
    </w:p>
    <w:p>
      <w:pPr>
        <w:pStyle w:val="Heading2"/>
        <w:spacing w:before="200" w:after="80"/>
      </w:pPr>
      <w:r>
        <w:rPr>
          <w:b/>
          <w:color w:val="1A1A2E"/>
          <w:sz w:val="32"/>
        </w:rPr>
        <w:t>Roadmap</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sz w:val="20"/>
              </w:rPr>
              <w:t>Phase</w:t>
            </w:r>
          </w:p>
        </w:tc>
        <w:tc>
          <w:tcPr>
            <w:tcW w:type="dxa" w:w="2268"/>
            <w:shd w:val="clear" w:color="auto" w:fill="1A1A2E"/>
          </w:tcPr>
          <w:p>
            <w:r>
              <w:rPr>
                <w:b/>
                <w:color w:val="FFFFFF"/>
                <w:sz w:val="20"/>
              </w:rPr>
              <w:t>Timeline</w:t>
            </w:r>
          </w:p>
        </w:tc>
        <w:tc>
          <w:tcPr>
            <w:tcW w:type="dxa" w:w="2268"/>
            <w:shd w:val="clear" w:color="auto" w:fill="1A1A2E"/>
          </w:tcPr>
          <w:p>
            <w:r>
              <w:rPr>
                <w:b/>
                <w:color w:val="FFFFFF"/>
                <w:sz w:val="20"/>
              </w:rPr>
              <w:t>Focus</w:t>
            </w:r>
          </w:p>
        </w:tc>
        <w:tc>
          <w:tcPr>
            <w:tcW w:type="dxa" w:w="2268"/>
            <w:shd w:val="clear" w:color="auto" w:fill="1A1A2E"/>
          </w:tcPr>
          <w:p>
            <w:r>
              <w:rPr>
                <w:b/>
                <w:color w:val="FFFFFF"/>
                <w:sz w:val="20"/>
              </w:rPr>
              <w:t>Key Deliverables</w:t>
            </w:r>
          </w:p>
        </w:tc>
      </w:tr>
      <w:tr>
        <w:tc>
          <w:tcPr>
            <w:tcW w:type="dxa" w:w="2268"/>
          </w:tcPr>
          <w:p>
            <w:r>
              <w:rPr>
                <w:sz w:val="20"/>
              </w:rPr>
              <w:t>Phase 1 — Foundation</w:t>
            </w:r>
          </w:p>
        </w:tc>
        <w:tc>
          <w:tcPr>
            <w:tcW w:type="dxa" w:w="2268"/>
          </w:tcPr>
          <w:p>
            <w:r>
              <w:rPr>
                <w:sz w:val="20"/>
              </w:rPr>
              <w:t>Months 1-4 (Complete)</w:t>
            </w:r>
          </w:p>
        </w:tc>
        <w:tc>
          <w:tcPr>
            <w:tcW w:type="dxa" w:w="2268"/>
          </w:tcPr>
          <w:p>
            <w:r>
              <w:rPr>
                <w:sz w:val="20"/>
              </w:rPr>
              <w:t>Core platform and basic flows</w:t>
            </w:r>
          </w:p>
        </w:tc>
        <w:tc>
          <w:tcPr>
            <w:tcW w:type="dxa" w:w="2268"/>
          </w:tcPr>
          <w:p>
            <w:r>
              <w:rPr>
                <w:sz w:val="20"/>
              </w:rPr>
              <w:t>Core Kernel, Sell/Buy flows, RBAC, Event Bus, Settings, AI extension scaffold</w:t>
            </w:r>
          </w:p>
        </w:tc>
      </w:tr>
      <w:tr>
        <w:tc>
          <w:tcPr>
            <w:tcW w:type="dxa" w:w="2268"/>
            <w:shd w:val="clear" w:color="auto" w:fill="F5F5F4"/>
          </w:tcPr>
          <w:p>
            <w:r>
              <w:rPr>
                <w:sz w:val="20"/>
              </w:rPr>
              <w:t>Phase 2 — Financial Intelligence</w:t>
            </w:r>
          </w:p>
        </w:tc>
        <w:tc>
          <w:tcPr>
            <w:tcW w:type="dxa" w:w="2268"/>
            <w:shd w:val="clear" w:color="auto" w:fill="F5F5F4"/>
          </w:tcPr>
          <w:p>
            <w:r>
              <w:rPr>
                <w:sz w:val="20"/>
              </w:rPr>
              <w:t>Months 5-7 (In Progress)</w:t>
            </w:r>
          </w:p>
        </w:tc>
        <w:tc>
          <w:tcPr>
            <w:tcW w:type="dxa" w:w="2268"/>
            <w:shd w:val="clear" w:color="auto" w:fill="F5F5F4"/>
          </w:tcPr>
          <w:p>
            <w:r>
              <w:rPr>
                <w:sz w:val="20"/>
              </w:rPr>
              <w:t>Money flow + AI layer 1</w:t>
            </w:r>
          </w:p>
        </w:tc>
        <w:tc>
          <w:tcPr>
            <w:tcW w:type="dxa" w:w="2268"/>
            <w:shd w:val="clear" w:color="auto" w:fill="F5F5F4"/>
          </w:tcPr>
          <w:p>
            <w:r>
              <w:rPr>
                <w:sz w:val="20"/>
              </w:rPr>
              <w:t>Money Flow, AI anomaly detection, 3-way matching, demand forecasting signals</w:t>
            </w:r>
          </w:p>
        </w:tc>
      </w:tr>
      <w:tr>
        <w:tc>
          <w:tcPr>
            <w:tcW w:type="dxa" w:w="2268"/>
          </w:tcPr>
          <w:p>
            <w:r>
              <w:rPr>
                <w:sz w:val="20"/>
              </w:rPr>
              <w:t>Phase 3 — People and CRM</w:t>
            </w:r>
          </w:p>
        </w:tc>
        <w:tc>
          <w:tcPr>
            <w:tcW w:type="dxa" w:w="2268"/>
          </w:tcPr>
          <w:p>
            <w:r>
              <w:rPr>
                <w:sz w:val="20"/>
              </w:rPr>
              <w:t>Months 8-11</w:t>
            </w:r>
          </w:p>
        </w:tc>
        <w:tc>
          <w:tcPr>
            <w:tcW w:type="dxa" w:w="2268"/>
          </w:tcPr>
          <w:p>
            <w:r>
              <w:rPr>
                <w:sz w:val="20"/>
              </w:rPr>
              <w:t>Pro tier workflows</w:t>
            </w:r>
          </w:p>
        </w:tc>
        <w:tc>
          <w:tcPr>
            <w:tcW w:type="dxa" w:w="2268"/>
          </w:tcPr>
          <w:p>
            <w:r>
              <w:rPr>
                <w:sz w:val="20"/>
              </w:rPr>
              <w:t>People flow (HR/Payroll), Customers/CRM flow, advanced approval chains</w:t>
            </w:r>
          </w:p>
        </w:tc>
      </w:tr>
      <w:tr>
        <w:tc>
          <w:tcPr>
            <w:tcW w:type="dxa" w:w="2268"/>
            <w:shd w:val="clear" w:color="auto" w:fill="F5F5F4"/>
          </w:tcPr>
          <w:p>
            <w:r>
              <w:rPr>
                <w:sz w:val="20"/>
              </w:rPr>
              <w:t>Phase 4 — AI Copilot</w:t>
            </w:r>
          </w:p>
        </w:tc>
        <w:tc>
          <w:tcPr>
            <w:tcW w:type="dxa" w:w="2268"/>
            <w:shd w:val="clear" w:color="auto" w:fill="F5F5F4"/>
          </w:tcPr>
          <w:p>
            <w:r>
              <w:rPr>
                <w:sz w:val="20"/>
              </w:rPr>
              <w:t>Months 12-16</w:t>
            </w:r>
          </w:p>
        </w:tc>
        <w:tc>
          <w:tcPr>
            <w:tcW w:type="dxa" w:w="2268"/>
            <w:shd w:val="clear" w:color="auto" w:fill="F5F5F4"/>
          </w:tcPr>
          <w:p>
            <w:r>
              <w:rPr>
                <w:sz w:val="20"/>
              </w:rPr>
              <w:t>Intelligent assistance</w:t>
            </w:r>
          </w:p>
        </w:tc>
        <w:tc>
          <w:tcPr>
            <w:tcW w:type="dxa" w:w="2268"/>
            <w:shd w:val="clear" w:color="auto" w:fill="F5F5F4"/>
          </w:tcPr>
          <w:p>
            <w:r>
              <w:rPr>
                <w:sz w:val="20"/>
              </w:rPr>
              <w:t>NL query interface, predictive alerts, AI-generated reports, workflow suggestions</w:t>
            </w:r>
          </w:p>
        </w:tc>
      </w:tr>
      <w:tr>
        <w:tc>
          <w:tcPr>
            <w:tcW w:type="dxa" w:w="2268"/>
          </w:tcPr>
          <w:p>
            <w:r>
              <w:rPr>
                <w:sz w:val="20"/>
              </w:rPr>
              <w:t>Phase 5 — Enterprise</w:t>
            </w:r>
          </w:p>
        </w:tc>
        <w:tc>
          <w:tcPr>
            <w:tcW w:type="dxa" w:w="2268"/>
          </w:tcPr>
          <w:p>
            <w:r>
              <w:rPr>
                <w:sz w:val="20"/>
              </w:rPr>
              <w:t>Months 17-24</w:t>
            </w:r>
          </w:p>
        </w:tc>
        <w:tc>
          <w:tcPr>
            <w:tcW w:type="dxa" w:w="2268"/>
          </w:tcPr>
          <w:p>
            <w:r>
              <w:rPr>
                <w:sz w:val="20"/>
              </w:rPr>
              <w:t>Premium tier features</w:t>
            </w:r>
          </w:p>
        </w:tc>
        <w:tc>
          <w:tcPr>
            <w:tcW w:type="dxa" w:w="2268"/>
          </w:tcPr>
          <w:p>
            <w:r>
              <w:rPr>
                <w:sz w:val="20"/>
              </w:rPr>
              <w:t>Manufacturing, Projects, Assets, Support flows, multi-entity financial consolidation</w:t>
            </w:r>
          </w:p>
        </w:tc>
      </w:tr>
    </w:tbl>
    <w:p/>
    <w:p>
      <w:pPr>
        <w:pStyle w:val="Heading2"/>
        <w:spacing w:before="200" w:after="80"/>
      </w:pPr>
      <w:r>
        <w:rPr>
          <w:b/>
          <w:color w:val="1A1A2E"/>
          <w:sz w:val="32"/>
        </w:rPr>
        <w:t>Success Metrics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sz w:val="20"/>
              </w:rPr>
              <w:t>Metric Type</w:t>
            </w:r>
          </w:p>
        </w:tc>
        <w:tc>
          <w:tcPr>
            <w:tcW w:type="dxa" w:w="2268"/>
            <w:shd w:val="clear" w:color="auto" w:fill="1A1A2E"/>
          </w:tcPr>
          <w:p>
            <w:r>
              <w:rPr>
                <w:b/>
                <w:color w:val="FFFFFF"/>
                <w:sz w:val="20"/>
              </w:rPr>
              <w:t>Metric</w:t>
            </w:r>
          </w:p>
        </w:tc>
        <w:tc>
          <w:tcPr>
            <w:tcW w:type="dxa" w:w="2268"/>
            <w:shd w:val="clear" w:color="auto" w:fill="1A1A2E"/>
          </w:tcPr>
          <w:p>
            <w:r>
              <w:rPr>
                <w:b/>
                <w:color w:val="FFFFFF"/>
                <w:sz w:val="20"/>
              </w:rPr>
              <w:t>Target</w:t>
            </w:r>
          </w:p>
        </w:tc>
        <w:tc>
          <w:tcPr>
            <w:tcW w:type="dxa" w:w="2268"/>
            <w:shd w:val="clear" w:color="auto" w:fill="1A1A2E"/>
          </w:tcPr>
          <w:p>
            <w:r>
              <w:rPr>
                <w:b/>
                <w:color w:val="FFFFFF"/>
                <w:sz w:val="20"/>
              </w:rPr>
              <w:t>Measurement Method</w:t>
            </w:r>
          </w:p>
        </w:tc>
      </w:tr>
      <w:tr>
        <w:tc>
          <w:tcPr>
            <w:tcW w:type="dxa" w:w="2268"/>
          </w:tcPr>
          <w:p>
            <w:r>
              <w:rPr>
                <w:sz w:val="20"/>
              </w:rPr>
              <w:t>Product</w:t>
            </w:r>
          </w:p>
        </w:tc>
        <w:tc>
          <w:tcPr>
            <w:tcW w:type="dxa" w:w="2268"/>
          </w:tcPr>
          <w:p>
            <w:r>
              <w:rPr>
                <w:sz w:val="20"/>
              </w:rPr>
              <w:t>Sell Flow Completion Rate</w:t>
            </w:r>
          </w:p>
        </w:tc>
        <w:tc>
          <w:tcPr>
            <w:tcW w:type="dxa" w:w="2268"/>
          </w:tcPr>
          <w:p>
            <w:r>
              <w:rPr>
                <w:sz w:val="20"/>
              </w:rPr>
              <w:t>&gt;85% of started flows completed</w:t>
            </w:r>
          </w:p>
        </w:tc>
        <w:tc>
          <w:tcPr>
            <w:tcW w:type="dxa" w:w="2268"/>
          </w:tcPr>
          <w:p>
            <w:r>
              <w:rPr>
                <w:sz w:val="20"/>
              </w:rPr>
              <w:t>Flow step tracking in audit log</w:t>
            </w:r>
          </w:p>
        </w:tc>
      </w:tr>
      <w:tr>
        <w:tc>
          <w:tcPr>
            <w:tcW w:type="dxa" w:w="2268"/>
            <w:shd w:val="clear" w:color="auto" w:fill="F5F5F4"/>
          </w:tcPr>
          <w:p>
            <w:r>
              <w:rPr>
                <w:sz w:val="20"/>
              </w:rPr>
              <w:t>Product</w:t>
            </w:r>
          </w:p>
        </w:tc>
        <w:tc>
          <w:tcPr>
            <w:tcW w:type="dxa" w:w="2268"/>
            <w:shd w:val="clear" w:color="auto" w:fill="F5F5F4"/>
          </w:tcPr>
          <w:p>
            <w:r>
              <w:rPr>
                <w:sz w:val="20"/>
              </w:rPr>
              <w:t>Time to Complete Sell Flow</w:t>
            </w:r>
          </w:p>
        </w:tc>
        <w:tc>
          <w:tcPr>
            <w:tcW w:type="dxa" w:w="2268"/>
            <w:shd w:val="clear" w:color="auto" w:fill="F5F5F4"/>
          </w:tcPr>
          <w:p>
            <w:r>
              <w:rPr>
                <w:sz w:val="20"/>
              </w:rPr>
              <w:t>&lt;15 mins for standard order</w:t>
            </w:r>
          </w:p>
        </w:tc>
        <w:tc>
          <w:tcPr>
            <w:tcW w:type="dxa" w:w="2268"/>
            <w:shd w:val="clear" w:color="auto" w:fill="F5F5F4"/>
          </w:tcPr>
          <w:p>
            <w:r>
              <w:rPr>
                <w:sz w:val="20"/>
              </w:rPr>
              <w:t>Step timestamp delta analysis</w:t>
            </w:r>
          </w:p>
        </w:tc>
      </w:tr>
      <w:tr>
        <w:tc>
          <w:tcPr>
            <w:tcW w:type="dxa" w:w="2268"/>
          </w:tcPr>
          <w:p>
            <w:r>
              <w:rPr>
                <w:sz w:val="20"/>
              </w:rPr>
              <w:t>Business</w:t>
            </w:r>
          </w:p>
        </w:tc>
        <w:tc>
          <w:tcPr>
            <w:tcW w:type="dxa" w:w="2268"/>
          </w:tcPr>
          <w:p>
            <w:r>
              <w:rPr>
                <w:sz w:val="20"/>
              </w:rPr>
              <w:t>Customer Activation Rate</w:t>
            </w:r>
          </w:p>
        </w:tc>
        <w:tc>
          <w:tcPr>
            <w:tcW w:type="dxa" w:w="2268"/>
          </w:tcPr>
          <w:p>
            <w:r>
              <w:rPr>
                <w:sz w:val="20"/>
              </w:rPr>
              <w:t>&gt;60% complete first full workflow in week 1</w:t>
            </w:r>
          </w:p>
        </w:tc>
        <w:tc>
          <w:tcPr>
            <w:tcW w:type="dxa" w:w="2268"/>
          </w:tcPr>
          <w:p>
            <w:r>
              <w:rPr>
                <w:sz w:val="20"/>
              </w:rPr>
              <w:t>Onboarding funnel analytics</w:t>
            </w:r>
          </w:p>
        </w:tc>
      </w:tr>
      <w:tr>
        <w:tc>
          <w:tcPr>
            <w:tcW w:type="dxa" w:w="2268"/>
            <w:shd w:val="clear" w:color="auto" w:fill="F5F5F4"/>
          </w:tcPr>
          <w:p>
            <w:r>
              <w:rPr>
                <w:sz w:val="20"/>
              </w:rPr>
              <w:t>Business</w:t>
            </w:r>
          </w:p>
        </w:tc>
        <w:tc>
          <w:tcPr>
            <w:tcW w:type="dxa" w:w="2268"/>
            <w:shd w:val="clear" w:color="auto" w:fill="F5F5F4"/>
          </w:tcPr>
          <w:p>
            <w:r>
              <w:rPr>
                <w:sz w:val="20"/>
              </w:rPr>
              <w:t>Monthly Active Tenants (MAT)</w:t>
            </w:r>
          </w:p>
        </w:tc>
        <w:tc>
          <w:tcPr>
            <w:tcW w:type="dxa" w:w="2268"/>
            <w:shd w:val="clear" w:color="auto" w:fill="F5F5F4"/>
          </w:tcPr>
          <w:p>
            <w:r>
              <w:rPr>
                <w:sz w:val="20"/>
              </w:rPr>
              <w:t>100 tenants by end of Phase 2</w:t>
            </w:r>
          </w:p>
        </w:tc>
        <w:tc>
          <w:tcPr>
            <w:tcW w:type="dxa" w:w="2268"/>
            <w:shd w:val="clear" w:color="auto" w:fill="F5F5F4"/>
          </w:tcPr>
          <w:p>
            <w:r>
              <w:rPr>
                <w:sz w:val="20"/>
              </w:rPr>
              <w:t>Auth system active session data</w:t>
            </w:r>
          </w:p>
        </w:tc>
      </w:tr>
      <w:tr>
        <w:tc>
          <w:tcPr>
            <w:tcW w:type="dxa" w:w="2268"/>
          </w:tcPr>
          <w:p>
            <w:r>
              <w:rPr>
                <w:sz w:val="20"/>
              </w:rPr>
              <w:t>AI (Phase 2)</w:t>
            </w:r>
          </w:p>
        </w:tc>
        <w:tc>
          <w:tcPr>
            <w:tcW w:type="dxa" w:w="2268"/>
          </w:tcPr>
          <w:p>
            <w:r>
              <w:rPr>
                <w:sz w:val="20"/>
              </w:rPr>
              <w:t>Invoice Match Accuracy</w:t>
            </w:r>
          </w:p>
        </w:tc>
        <w:tc>
          <w:tcPr>
            <w:tcW w:type="dxa" w:w="2268"/>
          </w:tcPr>
          <w:p>
            <w:r>
              <w:rPr>
                <w:sz w:val="20"/>
              </w:rPr>
              <w:t>&gt;92% precision</w:t>
            </w:r>
          </w:p>
        </w:tc>
        <w:tc>
          <w:tcPr>
            <w:tcW w:type="dxa" w:w="2268"/>
          </w:tcPr>
          <w:p>
            <w:r>
              <w:rPr>
                <w:sz w:val="20"/>
              </w:rPr>
              <w:t>Override rate monitoring on matched invoices</w:t>
            </w:r>
          </w:p>
        </w:tc>
      </w:tr>
      <w:tr>
        <w:tc>
          <w:tcPr>
            <w:tcW w:type="dxa" w:w="2268"/>
            <w:shd w:val="clear" w:color="auto" w:fill="F5F5F4"/>
          </w:tcPr>
          <w:p>
            <w:r>
              <w:rPr>
                <w:sz w:val="20"/>
              </w:rPr>
              <w:t>AI (Phase 2)</w:t>
            </w:r>
          </w:p>
        </w:tc>
        <w:tc>
          <w:tcPr>
            <w:tcW w:type="dxa" w:w="2268"/>
            <w:shd w:val="clear" w:color="auto" w:fill="F5F5F4"/>
          </w:tcPr>
          <w:p>
            <w:r>
              <w:rPr>
                <w:sz w:val="20"/>
              </w:rPr>
              <w:t>False Auto-Approval Rate</w:t>
            </w:r>
          </w:p>
        </w:tc>
        <w:tc>
          <w:tcPr>
            <w:tcW w:type="dxa" w:w="2268"/>
            <w:shd w:val="clear" w:color="auto" w:fill="F5F5F4"/>
          </w:tcPr>
          <w:p>
            <w:r>
              <w:rPr>
                <w:sz w:val="20"/>
              </w:rPr>
              <w:t>&lt;0.5% — hard stop threshold</w:t>
            </w:r>
          </w:p>
        </w:tc>
        <w:tc>
          <w:tcPr>
            <w:tcW w:type="dxa" w:w="2268"/>
            <w:shd w:val="clear" w:color="auto" w:fill="F5F5F4"/>
          </w:tcPr>
          <w:p>
            <w:r>
              <w:rPr>
                <w:sz w:val="20"/>
              </w:rPr>
              <w:t>Audit log review + reviewer feedback</w:t>
            </w:r>
          </w:p>
        </w:tc>
      </w:tr>
      <w:tr>
        <w:tc>
          <w:tcPr>
            <w:tcW w:type="dxa" w:w="2268"/>
          </w:tcPr>
          <w:p>
            <w:r>
              <w:rPr>
                <w:sz w:val="20"/>
              </w:rPr>
              <w:t>Trust</w:t>
            </w:r>
          </w:p>
        </w:tc>
        <w:tc>
          <w:tcPr>
            <w:tcW w:type="dxa" w:w="2268"/>
          </w:tcPr>
          <w:p>
            <w:r>
              <w:rPr>
                <w:sz w:val="20"/>
              </w:rPr>
              <w:t>Human Override Rate on AI Recs</w:t>
            </w:r>
          </w:p>
        </w:tc>
        <w:tc>
          <w:tcPr>
            <w:tcW w:type="dxa" w:w="2268"/>
          </w:tcPr>
          <w:p>
            <w:r>
              <w:rPr>
                <w:sz w:val="20"/>
              </w:rPr>
              <w:t>&lt;20% by 90-day mark</w:t>
            </w:r>
          </w:p>
        </w:tc>
        <w:tc>
          <w:tcPr>
            <w:tcW w:type="dxa" w:w="2268"/>
          </w:tcPr>
          <w:p>
            <w:r>
              <w:rPr>
                <w:sz w:val="20"/>
              </w:rPr>
              <w:t>Override event tracking in audit log</w:t>
            </w:r>
          </w:p>
        </w:tc>
      </w:tr>
      <w:tr>
        <w:tc>
          <w:tcPr>
            <w:tcW w:type="dxa" w:w="2268"/>
            <w:shd w:val="clear" w:color="auto" w:fill="F5F5F4"/>
          </w:tcPr>
          <w:p>
            <w:r>
              <w:rPr>
                <w:sz w:val="20"/>
              </w:rPr>
              <w:t>Trust</w:t>
            </w:r>
          </w:p>
        </w:tc>
        <w:tc>
          <w:tcPr>
            <w:tcW w:type="dxa" w:w="2268"/>
            <w:shd w:val="clear" w:color="auto" w:fill="F5F5F4"/>
          </w:tcPr>
          <w:p>
            <w:r>
              <w:rPr>
                <w:sz w:val="20"/>
              </w:rPr>
              <w:t>Reviewer Complaint Rate</w:t>
            </w:r>
          </w:p>
        </w:tc>
        <w:tc>
          <w:tcPr>
            <w:tcW w:type="dxa" w:w="2268"/>
            <w:shd w:val="clear" w:color="auto" w:fill="F5F5F4"/>
          </w:tcPr>
          <w:p>
            <w:r>
              <w:rPr>
                <w:sz w:val="20"/>
              </w:rPr>
              <w:t>&lt;5% of MAT per month</w:t>
            </w:r>
          </w:p>
        </w:tc>
        <w:tc>
          <w:tcPr>
            <w:tcW w:type="dxa" w:w="2268"/>
            <w:shd w:val="clear" w:color="auto" w:fill="F5F5F4"/>
          </w:tcPr>
          <w:p>
            <w:r>
              <w:rPr>
                <w:sz w:val="20"/>
              </w:rPr>
              <w:t>Support ticket categorization</w:t>
            </w:r>
          </w:p>
        </w:tc>
      </w:tr>
    </w:tbl>
    <w:p/>
    <w:p>
      <w:r>
        <w:br w:type="page"/>
      </w:r>
    </w:p>
    <w:p>
      <w:pPr>
        <w:pStyle w:val="Heading1"/>
        <w:spacing w:before="280" w:after="80"/>
      </w:pPr>
      <w:r>
        <w:rPr>
          <w:b/>
          <w:color w:val="1A1A2E"/>
          <w:sz w:val="44"/>
        </w:rPr>
        <w:t>4. UX, Workflow, and Trust Design</w:t>
      </w:r>
    </w:p>
    <w:p>
      <w:pPr>
        <w:pStyle w:val="Heading2"/>
        <w:spacing w:before="200" w:after="80"/>
      </w:pPr>
      <w:r>
        <w:rPr>
          <w:b/>
          <w:color w:val="1A1A2E"/>
          <w:sz w:val="32"/>
        </w:rPr>
        <w:t>Core UX Philosophy</w:t>
      </w:r>
    </w:p>
    <w:p>
      <w:pPr>
        <w:spacing w:after="80"/>
      </w:pPr>
      <w:r>
        <w:rPr>
          <w:color w:val="1C1917"/>
          <w:sz w:val="22"/>
        </w:rPr>
        <w:t>BES's UX is built on one foundational principle: the system should guide, not dictate. Every screen, every interaction, and every AI recommendation is designed to augment human judgment — never to replace it without consent. This is especially important for a business operations platform where a wrong automated decision can have real financial consequences.</w:t>
      </w:r>
    </w:p>
    <w:p>
      <w:pPr>
        <w:spacing w:after="80"/>
      </w:pPr>
      <w:r>
        <w:rPr>
          <w:color w:val="1C1917"/>
          <w:sz w:val="22"/>
        </w:rPr>
        <w:t>The visual identity is 'Warm Professional' — inspired by Stripe Dashboard and Notion. Stone/warm-gray scale instead of cold blue-gray. Terracotta accents for interactive elements. Outfit font for headings, Inter for body text. Motion is purposeful, not decorative.</w:t>
      </w:r>
    </w:p>
    <w:p>
      <w:pPr>
        <w:pStyle w:val="Heading2"/>
        <w:spacing w:before="200" w:after="80"/>
      </w:pPr>
      <w:r>
        <w:rPr>
          <w:b/>
          <w:color w:val="1A1A2E"/>
          <w:sz w:val="32"/>
        </w:rPr>
        <w:t>Main User Workflow — The Sell Flow Step by Step</w:t>
      </w:r>
    </w:p>
    <w:p>
      <w:pPr>
        <w:pStyle w:val="ListBullet"/>
        <w:spacing w:after="40"/>
        <w:ind w:left="360"/>
      </w:pPr>
      <w:r>
        <w:rPr>
          <w:color w:val="1C1917"/>
          <w:sz w:val="22"/>
        </w:rPr>
        <w:t>User logs in → sees Home dashboard with 'My Tasks' showing pending items that need their attention today.</w:t>
      </w:r>
    </w:p>
    <w:p>
      <w:pPr>
        <w:pStyle w:val="ListBullet"/>
        <w:spacing w:after="40"/>
        <w:ind w:left="360"/>
      </w:pPr>
      <w:r>
        <w:rPr>
          <w:color w:val="1C1917"/>
          <w:sz w:val="22"/>
        </w:rPr>
        <w:t>They click 'Sell' in the sidebar → Sell Flow landing page shows: open quotes, pending orders, this month's revenue KPIs, and recent activity feed.</w:t>
      </w:r>
    </w:p>
    <w:p>
      <w:pPr>
        <w:pStyle w:val="ListBullet"/>
        <w:spacing w:after="40"/>
        <w:ind w:left="360"/>
      </w:pPr>
      <w:r>
        <w:rPr>
          <w:color w:val="1C1917"/>
          <w:sz w:val="22"/>
        </w:rPr>
        <w:t>They click '+ New Sale' → enter the Create Quote step: customer selector with search, product line items with auto-calculated totals (qty × price − discount + tax).</w:t>
      </w:r>
    </w:p>
    <w:p>
      <w:pPr>
        <w:pStyle w:val="ListBullet"/>
        <w:spacing w:after="40"/>
        <w:ind w:left="360"/>
      </w:pPr>
      <w:r>
        <w:rPr>
          <w:color w:val="1C1917"/>
          <w:sz w:val="22"/>
        </w:rPr>
        <w:t>On 'Confirm Order': system validates required fields → transitions to sales order → inventory reservation fires via event bus → warehouse manager receives a task in their inbox.</w:t>
      </w:r>
    </w:p>
    <w:p>
      <w:pPr>
        <w:pStyle w:val="ListBullet"/>
        <w:spacing w:after="40"/>
        <w:ind w:left="360"/>
      </w:pPr>
      <w:r>
        <w:rPr>
          <w:color w:val="1C1917"/>
          <w:sz w:val="22"/>
        </w:rPr>
        <w:t>Warehouse manager picks up shipping task → completes Ship step → inventory deducted automatically via event bus → accountant notified.</w:t>
      </w:r>
    </w:p>
    <w:p>
      <w:pPr>
        <w:pStyle w:val="ListBullet"/>
        <w:spacing w:after="40"/>
        <w:ind w:left="360"/>
      </w:pPr>
      <w:r>
        <w:rPr>
          <w:color w:val="1C1917"/>
          <w:sz w:val="22"/>
        </w:rPr>
        <w:t>Accountant generates invoice → finance journal entry posted automatically → customer receives invoice.</w:t>
      </w:r>
    </w:p>
    <w:p>
      <w:pPr>
        <w:pStyle w:val="ListBullet"/>
        <w:spacing w:after="40"/>
        <w:ind w:left="360"/>
      </w:pPr>
      <w:r>
        <w:rPr>
          <w:color w:val="1C1917"/>
          <w:sz w:val="22"/>
        </w:rPr>
        <w:t>Customer pays → payment recorded → order marked Completed. Full end-to-end audit trail captured in EventStore.</w:t>
      </w:r>
    </w:p>
    <w:p>
      <w:pPr>
        <w:pStyle w:val="Heading2"/>
        <w:spacing w:before="200" w:after="80"/>
      </w:pPr>
      <w:r>
        <w:rPr>
          <w:b/>
          <w:color w:val="1A1A2E"/>
          <w:sz w:val="32"/>
        </w:rPr>
        <w:t>Trust and Explainability Design Decisions</w:t>
      </w:r>
    </w:p>
    <w:p>
      <w:pPr>
        <w:pStyle w:val="ListBullet"/>
        <w:spacing w:after="40"/>
        <w:ind w:left="360"/>
      </w:pPr>
      <w:r>
        <w:rPr>
          <w:b/>
          <w:color w:val="1A1A2E"/>
          <w:sz w:val="22"/>
        </w:rPr>
        <w:t xml:space="preserve">Visible Confidence: </w:t>
      </w:r>
      <w:r>
        <w:rPr>
          <w:color w:val="1C1917"/>
          <w:sz w:val="22"/>
        </w:rPr>
        <w:t>AI recommendations always show a confidence level (e.g. '94% match — safe to approve'). A collapsed 'Why?' panel shows the factors driving the recommendation.</w:t>
      </w:r>
    </w:p>
    <w:p>
      <w:pPr>
        <w:pStyle w:val="ListBullet"/>
        <w:spacing w:after="40"/>
        <w:ind w:left="360"/>
      </w:pPr>
      <w:r>
        <w:rPr>
          <w:b/>
          <w:color w:val="1A1A2E"/>
          <w:sz w:val="22"/>
        </w:rPr>
        <w:t xml:space="preserve">Explicit Consent: </w:t>
      </w:r>
      <w:r>
        <w:rPr>
          <w:color w:val="1C1917"/>
          <w:sz w:val="22"/>
        </w:rPr>
        <w:t>Every AI-suggested action requires explicit human confirmation. The system never auto-approves without acknowledgment. For financial transactions above a configurable threshold, dual authorization is required.</w:t>
      </w:r>
    </w:p>
    <w:p>
      <w:pPr>
        <w:pStyle w:val="ListBullet"/>
        <w:spacing w:after="40"/>
        <w:ind w:left="360"/>
      </w:pPr>
      <w:r>
        <w:rPr>
          <w:b/>
          <w:color w:val="1A1A2E"/>
          <w:sz w:val="22"/>
        </w:rPr>
        <w:t xml:space="preserve">Anomaly Explanation: </w:t>
      </w:r>
      <w:r>
        <w:rPr>
          <w:color w:val="1C1917"/>
          <w:sz w:val="22"/>
        </w:rPr>
        <w:t>When AI flags an anomaly (e.g. duplicate invoice, price discrepancy), it shows exactly which fields triggered the flag and what the expected value was vs. what was received.</w:t>
      </w:r>
    </w:p>
    <w:p>
      <w:pPr>
        <w:pStyle w:val="ListBullet"/>
        <w:spacing w:after="40"/>
        <w:ind w:left="360"/>
      </w:pPr>
      <w:r>
        <w:rPr>
          <w:b/>
          <w:color w:val="1A1A2E"/>
          <w:sz w:val="22"/>
        </w:rPr>
        <w:t xml:space="preserve">Override Capture: </w:t>
      </w:r>
      <w:r>
        <w:rPr>
          <w:color w:val="1C1917"/>
          <w:sz w:val="22"/>
        </w:rPr>
        <w:t>Users can always override AI recommendations with a mandatory reason field. Overrides are logged in the audit trail with user, timestamp, reason, and what the AI had recommended.</w:t>
      </w:r>
    </w:p>
    <w:p>
      <w:pPr>
        <w:pStyle w:val="ListBullet"/>
        <w:spacing w:after="40"/>
        <w:ind w:left="360"/>
      </w:pPr>
      <w:r>
        <w:rPr>
          <w:b/>
          <w:color w:val="1A1A2E"/>
          <w:sz w:val="22"/>
        </w:rPr>
        <w:t xml:space="preserve">Graceful Degradation: </w:t>
      </w:r>
      <w:r>
        <w:rPr>
          <w:color w:val="1C1917"/>
          <w:sz w:val="22"/>
        </w:rPr>
        <w:t>Subscription-gated features show a lock indicator with an explanation. Clicking opens an upgrade overlay — never a blank page or confusing error message.</w:t>
      </w:r>
    </w:p>
    <w:p>
      <w:pPr>
        <w:pStyle w:val="Heading2"/>
        <w:spacing w:before="200" w:after="80"/>
      </w:pPr>
      <w:r>
        <w:rPr>
          <w:b/>
          <w:color w:val="1A1A2E"/>
          <w:sz w:val="32"/>
        </w:rPr>
        <w:t>Uncertainty Handling Design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b/>
                <w:color w:val="FFFFFF"/>
                <w:sz w:val="20"/>
              </w:rPr>
              <w:t>Confidence Level</w:t>
            </w:r>
          </w:p>
        </w:tc>
        <w:tc>
          <w:tcPr>
            <w:tcW w:type="dxa" w:w="3024"/>
            <w:shd w:val="clear" w:color="auto" w:fill="1A1A2E"/>
          </w:tcPr>
          <w:p>
            <w:r>
              <w:rPr>
                <w:b/>
                <w:color w:val="FFFFFF"/>
                <w:sz w:val="20"/>
              </w:rPr>
              <w:t>System Behavior</w:t>
            </w:r>
          </w:p>
        </w:tc>
        <w:tc>
          <w:tcPr>
            <w:tcW w:type="dxa" w:w="3024"/>
            <w:shd w:val="clear" w:color="auto" w:fill="1A1A2E"/>
          </w:tcPr>
          <w:p>
            <w:r>
              <w:rPr>
                <w:b/>
                <w:color w:val="FFFFFF"/>
                <w:sz w:val="20"/>
              </w:rPr>
              <w:t>UI Signal</w:t>
            </w:r>
          </w:p>
        </w:tc>
      </w:tr>
      <w:tr>
        <w:tc>
          <w:tcPr>
            <w:tcW w:type="dxa" w:w="3024"/>
          </w:tcPr>
          <w:p>
            <w:r>
              <w:rPr>
                <w:sz w:val="20"/>
              </w:rPr>
              <w:t>High (&gt;90%)</w:t>
            </w:r>
          </w:p>
        </w:tc>
        <w:tc>
          <w:tcPr>
            <w:tcW w:type="dxa" w:w="3024"/>
          </w:tcPr>
          <w:p>
            <w:r>
              <w:rPr>
                <w:sz w:val="20"/>
              </w:rPr>
              <w:t>Show recommendation prominently with one-click accept</w:t>
            </w:r>
          </w:p>
        </w:tc>
        <w:tc>
          <w:tcPr>
            <w:tcW w:type="dxa" w:w="3024"/>
          </w:tcPr>
          <w:p>
            <w:r>
              <w:rPr>
                <w:sz w:val="20"/>
              </w:rPr>
              <w:t>Green indicator, 'Safe to Proceed' badge</w:t>
            </w:r>
          </w:p>
        </w:tc>
      </w:tr>
      <w:tr>
        <w:tc>
          <w:tcPr>
            <w:tcW w:type="dxa" w:w="3024"/>
            <w:shd w:val="clear" w:color="auto" w:fill="F5F5F4"/>
          </w:tcPr>
          <w:p>
            <w:r>
              <w:rPr>
                <w:sz w:val="20"/>
              </w:rPr>
              <w:t>Medium (70-90%)</w:t>
            </w:r>
          </w:p>
        </w:tc>
        <w:tc>
          <w:tcPr>
            <w:tcW w:type="dxa" w:w="3024"/>
            <w:shd w:val="clear" w:color="auto" w:fill="F5F5F4"/>
          </w:tcPr>
          <w:p>
            <w:r>
              <w:rPr>
                <w:sz w:val="20"/>
              </w:rPr>
              <w:t>Show recommendation with 'Review Recommended' flag and key reasons</w:t>
            </w:r>
          </w:p>
        </w:tc>
        <w:tc>
          <w:tcPr>
            <w:tcW w:type="dxa" w:w="3024"/>
            <w:shd w:val="clear" w:color="auto" w:fill="F5F5F4"/>
          </w:tcPr>
          <w:p>
            <w:r>
              <w:rPr>
                <w:sz w:val="20"/>
              </w:rPr>
              <w:t>Yellow indicator, detail panel expands automatically</w:t>
            </w:r>
          </w:p>
        </w:tc>
      </w:tr>
      <w:tr>
        <w:tc>
          <w:tcPr>
            <w:tcW w:type="dxa" w:w="3024"/>
          </w:tcPr>
          <w:p>
            <w:r>
              <w:rPr>
                <w:sz w:val="20"/>
              </w:rPr>
              <w:t>Low (&lt;70%)</w:t>
            </w:r>
          </w:p>
        </w:tc>
        <w:tc>
          <w:tcPr>
            <w:tcW w:type="dxa" w:w="3024"/>
          </w:tcPr>
          <w:p>
            <w:r>
              <w:rPr>
                <w:sz w:val="20"/>
              </w:rPr>
              <w:t>Route directly to manual review queue — no recommendation shown</w:t>
            </w:r>
          </w:p>
        </w:tc>
        <w:tc>
          <w:tcPr>
            <w:tcW w:type="dxa" w:w="3024"/>
          </w:tcPr>
          <w:p>
            <w:r>
              <w:rPr>
                <w:sz w:val="20"/>
              </w:rPr>
              <w:t>Red indicator, 'Needs Review' task created for reviewer</w:t>
            </w:r>
          </w:p>
        </w:tc>
      </w:tr>
      <w:tr>
        <w:tc>
          <w:tcPr>
            <w:tcW w:type="dxa" w:w="3024"/>
            <w:shd w:val="clear" w:color="auto" w:fill="F5F5F4"/>
          </w:tcPr>
          <w:p>
            <w:r>
              <w:rPr>
                <w:sz w:val="20"/>
              </w:rPr>
              <w:t>Failure / Error</w:t>
            </w:r>
          </w:p>
        </w:tc>
        <w:tc>
          <w:tcPr>
            <w:tcW w:type="dxa" w:w="3024"/>
            <w:shd w:val="clear" w:color="auto" w:fill="F5F5F4"/>
          </w:tcPr>
          <w:p>
            <w:r>
              <w:rPr>
                <w:sz w:val="20"/>
              </w:rPr>
              <w:t>Graceful fallback to manual workflow, error logged for ops team</w:t>
            </w:r>
          </w:p>
        </w:tc>
        <w:tc>
          <w:tcPr>
            <w:tcW w:type="dxa" w:w="3024"/>
            <w:shd w:val="clear" w:color="auto" w:fill="F5F5F4"/>
          </w:tcPr>
          <w:p>
            <w:r>
              <w:rPr>
                <w:sz w:val="20"/>
              </w:rPr>
              <w:t>Error banner, 'Complete Manually' CTA shown</w:t>
            </w:r>
          </w:p>
        </w:tc>
      </w:tr>
    </w:tbl>
    <w:p/>
    <w:p>
      <w:pPr>
        <w:pStyle w:val="Heading2"/>
        <w:spacing w:before="200" w:after="80"/>
      </w:pPr>
      <w:r>
        <w:rPr>
          <w:b/>
          <w:color w:val="1A1A2E"/>
          <w:sz w:val="32"/>
        </w:rPr>
        <w:t>Human-in-the-Loop (HITL) Design</w:t>
      </w:r>
    </w:p>
    <w:p>
      <w:pPr>
        <w:spacing w:after="80"/>
      </w:pPr>
      <w:r>
        <w:rPr>
          <w:color w:val="1C1917"/>
          <w:sz w:val="22"/>
        </w:rPr>
        <w:t>Human review is built into the following points in the workflow by design:</w:t>
      </w:r>
    </w:p>
    <w:p>
      <w:pPr>
        <w:pStyle w:val="ListBullet"/>
        <w:spacing w:after="40"/>
        <w:ind w:left="360"/>
      </w:pPr>
      <w:r>
        <w:rPr>
          <w:color w:val="1C1917"/>
          <w:sz w:val="22"/>
        </w:rPr>
        <w:t>Any invoice where the AI match confidence is below the tenant-configured threshold (default: 85%).</w:t>
      </w:r>
    </w:p>
    <w:p>
      <w:pPr>
        <w:pStyle w:val="ListBullet"/>
        <w:spacing w:after="40"/>
        <w:ind w:left="360"/>
      </w:pPr>
      <w:r>
        <w:rPr>
          <w:color w:val="1C1917"/>
          <w:sz w:val="22"/>
        </w:rPr>
        <w:t>Any purchase order above a configurable amount threshold (default: 50,000 INR / USD 1,000).</w:t>
      </w:r>
    </w:p>
    <w:p>
      <w:pPr>
        <w:pStyle w:val="ListBullet"/>
        <w:spacing w:after="40"/>
        <w:ind w:left="360"/>
      </w:pPr>
      <w:r>
        <w:rPr>
          <w:color w:val="1C1917"/>
          <w:sz w:val="22"/>
        </w:rPr>
        <w:t>Any transaction flagged as a potential duplicate or showing unusual vendor behavior patterns.</w:t>
      </w:r>
    </w:p>
    <w:p>
      <w:pPr>
        <w:pStyle w:val="ListBullet"/>
        <w:spacing w:after="40"/>
        <w:ind w:left="360"/>
      </w:pPr>
      <w:r>
        <w:rPr>
          <w:color w:val="1C1917"/>
          <w:sz w:val="22"/>
        </w:rPr>
        <w:t>Any workflow step that the tenant has configured to require approval in the Pipeline Editor.</w:t>
      </w:r>
    </w:p>
    <w:p>
      <w:pPr>
        <w:pStyle w:val="ListBullet"/>
        <w:spacing w:after="40"/>
        <w:ind w:left="360"/>
      </w:pPr>
      <w:r>
        <w:rPr>
          <w:color w:val="1C1917"/>
          <w:sz w:val="22"/>
        </w:rPr>
        <w:t>Any AI action that would modify financial ledger entries — these always require human confirmation.</w:t>
      </w:r>
    </w:p>
    <w:p>
      <w:pPr>
        <w:pStyle w:val="Heading2"/>
        <w:spacing w:before="200" w:after="80"/>
      </w:pPr>
      <w:r>
        <w:rPr>
          <w:b/>
          <w:color w:val="1A1A2E"/>
          <w:sz w:val="32"/>
        </w:rPr>
        <w:t>Multi-Role Workflow Handoff Design</w:t>
      </w:r>
    </w:p>
    <w:p>
      <w:pPr>
        <w:spacing w:after="80"/>
      </w:pPr>
      <w:r>
        <w:rPr>
          <w:color w:val="1C1917"/>
          <w:sz w:val="22"/>
        </w:rPr>
        <w:t>BES's My Tasks system is the core HITL mechanism. When a workflow step completes and the next step belongs to a different role, a task is automatically created and a notification is sent. This prevents the common failure mode where a workflow stalls because the next person did not know it was their turn.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sz w:val="20"/>
              </w:rPr>
              <w:t>Step</w:t>
            </w:r>
          </w:p>
        </w:tc>
        <w:tc>
          <w:tcPr>
            <w:tcW w:type="dxa" w:w="2268"/>
            <w:shd w:val="clear" w:color="auto" w:fill="1A1A2E"/>
          </w:tcPr>
          <w:p>
            <w:r>
              <w:rPr>
                <w:b/>
                <w:color w:val="FFFFFF"/>
                <w:sz w:val="20"/>
              </w:rPr>
              <w:t>Owner Role</w:t>
            </w:r>
          </w:p>
        </w:tc>
        <w:tc>
          <w:tcPr>
            <w:tcW w:type="dxa" w:w="2268"/>
            <w:shd w:val="clear" w:color="auto" w:fill="1A1A2E"/>
          </w:tcPr>
          <w:p>
            <w:r>
              <w:rPr>
                <w:b/>
                <w:color w:val="FFFFFF"/>
                <w:sz w:val="20"/>
              </w:rPr>
              <w:t>Handoff To</w:t>
            </w:r>
          </w:p>
        </w:tc>
        <w:tc>
          <w:tcPr>
            <w:tcW w:type="dxa" w:w="2268"/>
            <w:shd w:val="clear" w:color="auto" w:fill="1A1A2E"/>
          </w:tcPr>
          <w:p>
            <w:r>
              <w:rPr>
                <w:b/>
                <w:color w:val="FFFFFF"/>
                <w:sz w:val="20"/>
              </w:rPr>
              <w:t>Notification</w:t>
            </w:r>
          </w:p>
        </w:tc>
      </w:tr>
      <w:tr>
        <w:tc>
          <w:tcPr>
            <w:tcW w:type="dxa" w:w="2268"/>
          </w:tcPr>
          <w:p>
            <w:r>
              <w:rPr>
                <w:sz w:val="20"/>
              </w:rPr>
              <w:t>Create Quote</w:t>
            </w:r>
          </w:p>
        </w:tc>
        <w:tc>
          <w:tcPr>
            <w:tcW w:type="dxa" w:w="2268"/>
          </w:tcPr>
          <w:p>
            <w:r>
              <w:rPr>
                <w:sz w:val="20"/>
              </w:rPr>
              <w:t>Sales Rep</w:t>
            </w:r>
          </w:p>
        </w:tc>
        <w:tc>
          <w:tcPr>
            <w:tcW w:type="dxa" w:w="2268"/>
          </w:tcPr>
          <w:p>
            <w:r>
              <w:rPr>
                <w:sz w:val="20"/>
              </w:rPr>
              <w:t>Same role (Confirm Order)</w:t>
            </w:r>
          </w:p>
        </w:tc>
        <w:tc>
          <w:tcPr>
            <w:tcW w:type="dxa" w:w="2268"/>
          </w:tcPr>
          <w:p>
            <w:r>
              <w:rPr>
                <w:sz w:val="20"/>
              </w:rPr>
              <w:t>None</w:t>
            </w:r>
          </w:p>
        </w:tc>
      </w:tr>
      <w:tr>
        <w:tc>
          <w:tcPr>
            <w:tcW w:type="dxa" w:w="2268"/>
            <w:shd w:val="clear" w:color="auto" w:fill="F5F5F4"/>
          </w:tcPr>
          <w:p>
            <w:r>
              <w:rPr>
                <w:sz w:val="20"/>
              </w:rPr>
              <w:t>Confirm Order</w:t>
            </w:r>
          </w:p>
        </w:tc>
        <w:tc>
          <w:tcPr>
            <w:tcW w:type="dxa" w:w="2268"/>
            <w:shd w:val="clear" w:color="auto" w:fill="F5F5F4"/>
          </w:tcPr>
          <w:p>
            <w:r>
              <w:rPr>
                <w:sz w:val="20"/>
              </w:rPr>
              <w:t>Sales Rep</w:t>
            </w:r>
          </w:p>
        </w:tc>
        <w:tc>
          <w:tcPr>
            <w:tcW w:type="dxa" w:w="2268"/>
            <w:shd w:val="clear" w:color="auto" w:fill="F5F5F4"/>
          </w:tcPr>
          <w:p>
            <w:r>
              <w:rPr>
                <w:sz w:val="20"/>
              </w:rPr>
              <w:t>Warehouse Staff (Ship)</w:t>
            </w:r>
          </w:p>
        </w:tc>
        <w:tc>
          <w:tcPr>
            <w:tcW w:type="dxa" w:w="2268"/>
            <w:shd w:val="clear" w:color="auto" w:fill="F5F5F4"/>
          </w:tcPr>
          <w:p>
            <w:r>
              <w:rPr>
                <w:sz w:val="20"/>
              </w:rPr>
              <w:t>Task + email: 'Order SO-0042 ready to ship'</w:t>
            </w:r>
          </w:p>
        </w:tc>
      </w:tr>
      <w:tr>
        <w:tc>
          <w:tcPr>
            <w:tcW w:type="dxa" w:w="2268"/>
          </w:tcPr>
          <w:p>
            <w:r>
              <w:rPr>
                <w:sz w:val="20"/>
              </w:rPr>
              <w:t>Ship Order</w:t>
            </w:r>
          </w:p>
        </w:tc>
        <w:tc>
          <w:tcPr>
            <w:tcW w:type="dxa" w:w="2268"/>
          </w:tcPr>
          <w:p>
            <w:r>
              <w:rPr>
                <w:sz w:val="20"/>
              </w:rPr>
              <w:t>Warehouse Staff</w:t>
            </w:r>
          </w:p>
        </w:tc>
        <w:tc>
          <w:tcPr>
            <w:tcW w:type="dxa" w:w="2268"/>
          </w:tcPr>
          <w:p>
            <w:r>
              <w:rPr>
                <w:sz w:val="20"/>
              </w:rPr>
              <w:t>Accountant (Invoice)</w:t>
            </w:r>
          </w:p>
        </w:tc>
        <w:tc>
          <w:tcPr>
            <w:tcW w:type="dxa" w:w="2268"/>
          </w:tcPr>
          <w:p>
            <w:r>
              <w:rPr>
                <w:sz w:val="20"/>
              </w:rPr>
              <w:t>Task + email: 'Shipment complete, invoice needed'</w:t>
            </w:r>
          </w:p>
        </w:tc>
      </w:tr>
      <w:tr>
        <w:tc>
          <w:tcPr>
            <w:tcW w:type="dxa" w:w="2268"/>
            <w:shd w:val="clear" w:color="auto" w:fill="F5F5F4"/>
          </w:tcPr>
          <w:p>
            <w:r>
              <w:rPr>
                <w:sz w:val="20"/>
              </w:rPr>
              <w:t>Generate Invoice</w:t>
            </w:r>
          </w:p>
        </w:tc>
        <w:tc>
          <w:tcPr>
            <w:tcW w:type="dxa" w:w="2268"/>
            <w:shd w:val="clear" w:color="auto" w:fill="F5F5F4"/>
          </w:tcPr>
          <w:p>
            <w:r>
              <w:rPr>
                <w:sz w:val="20"/>
              </w:rPr>
              <w:t>Accountant</w:t>
            </w:r>
          </w:p>
        </w:tc>
        <w:tc>
          <w:tcPr>
            <w:tcW w:type="dxa" w:w="2268"/>
            <w:shd w:val="clear" w:color="auto" w:fill="F5F5F4"/>
          </w:tcPr>
          <w:p>
            <w:r>
              <w:rPr>
                <w:sz w:val="20"/>
              </w:rPr>
              <w:t>Same role (Collect Payment)</w:t>
            </w:r>
          </w:p>
        </w:tc>
        <w:tc>
          <w:tcPr>
            <w:tcW w:type="dxa" w:w="2268"/>
            <w:shd w:val="clear" w:color="auto" w:fill="F5F5F4"/>
          </w:tcPr>
          <w:p>
            <w:r>
              <w:rPr>
                <w:sz w:val="20"/>
              </w:rPr>
              <w:t>None (same role)</w:t>
            </w:r>
          </w:p>
        </w:tc>
      </w:tr>
      <w:tr>
        <w:tc>
          <w:tcPr>
            <w:tcW w:type="dxa" w:w="2268"/>
          </w:tcPr>
          <w:p>
            <w:r>
              <w:rPr>
                <w:sz w:val="20"/>
              </w:rPr>
              <w:t>Collect Payment</w:t>
            </w:r>
          </w:p>
        </w:tc>
        <w:tc>
          <w:tcPr>
            <w:tcW w:type="dxa" w:w="2268"/>
          </w:tcPr>
          <w:p>
            <w:r>
              <w:rPr>
                <w:sz w:val="20"/>
              </w:rPr>
              <w:t>Accountant</w:t>
            </w:r>
          </w:p>
        </w:tc>
        <w:tc>
          <w:tcPr>
            <w:tcW w:type="dxa" w:w="2268"/>
          </w:tcPr>
          <w:p>
            <w:r>
              <w:rPr>
                <w:sz w:val="20"/>
              </w:rPr>
              <w:t>Flow Complete</w:t>
            </w:r>
          </w:p>
        </w:tc>
        <w:tc>
          <w:tcPr>
            <w:tcW w:type="dxa" w:w="2268"/>
          </w:tcPr>
          <w:p>
            <w:r>
              <w:rPr>
                <w:sz w:val="20"/>
              </w:rPr>
              <w:t>Confirmation notification to all parties</w:t>
            </w:r>
          </w:p>
        </w:tc>
      </w:tr>
    </w:tbl>
    <w:p/>
    <w:p>
      <w:r>
        <w:br w:type="page"/>
      </w:r>
    </w:p>
    <w:p>
      <w:pPr>
        <w:pStyle w:val="Heading1"/>
        <w:spacing w:before="280" w:after="80"/>
      </w:pPr>
      <w:r>
        <w:rPr>
          <w:b/>
          <w:color w:val="1A1A2E"/>
          <w:sz w:val="44"/>
        </w:rPr>
        <w:t>5. Data, Model, and Evaluation Strategy</w:t>
      </w:r>
    </w:p>
    <w:p>
      <w:pPr>
        <w:pStyle w:val="Heading2"/>
        <w:spacing w:before="200" w:after="80"/>
      </w:pPr>
      <w:r>
        <w:rPr>
          <w:b/>
          <w:color w:val="1A1A2E"/>
          <w:sz w:val="32"/>
        </w:rPr>
        <w:t>The Problem as Discrete AI Tasks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sz w:val="20"/>
              </w:rPr>
              <w:t>AI Task</w:t>
            </w:r>
          </w:p>
        </w:tc>
        <w:tc>
          <w:tcPr>
            <w:tcW w:type="dxa" w:w="2268"/>
            <w:shd w:val="clear" w:color="auto" w:fill="1A1A2E"/>
          </w:tcPr>
          <w:p>
            <w:r>
              <w:rPr>
                <w:b/>
                <w:color w:val="FFFFFF"/>
                <w:sz w:val="20"/>
              </w:rPr>
              <w:t>ML Problem Type</w:t>
            </w:r>
          </w:p>
        </w:tc>
        <w:tc>
          <w:tcPr>
            <w:tcW w:type="dxa" w:w="2268"/>
            <w:shd w:val="clear" w:color="auto" w:fill="1A1A2E"/>
          </w:tcPr>
          <w:p>
            <w:r>
              <w:rPr>
                <w:b/>
                <w:color w:val="FFFFFF"/>
                <w:sz w:val="20"/>
              </w:rPr>
              <w:t>Example</w:t>
            </w:r>
          </w:p>
        </w:tc>
        <w:tc>
          <w:tcPr>
            <w:tcW w:type="dxa" w:w="2268"/>
            <w:shd w:val="clear" w:color="auto" w:fill="1A1A2E"/>
          </w:tcPr>
          <w:p>
            <w:r>
              <w:rPr>
                <w:b/>
                <w:color w:val="FFFFFF"/>
                <w:sz w:val="20"/>
              </w:rPr>
              <w:t>Data Source</w:t>
            </w:r>
          </w:p>
        </w:tc>
      </w:tr>
      <w:tr>
        <w:tc>
          <w:tcPr>
            <w:tcW w:type="dxa" w:w="2268"/>
          </w:tcPr>
          <w:p>
            <w:r>
              <w:rPr>
                <w:sz w:val="20"/>
              </w:rPr>
              <w:t>Invoice Anomaly Detection</w:t>
            </w:r>
          </w:p>
        </w:tc>
        <w:tc>
          <w:tcPr>
            <w:tcW w:type="dxa" w:w="2268"/>
          </w:tcPr>
          <w:p>
            <w:r>
              <w:rPr>
                <w:sz w:val="20"/>
              </w:rPr>
              <w:t>Anomaly scoring / classification</w:t>
            </w:r>
          </w:p>
        </w:tc>
        <w:tc>
          <w:tcPr>
            <w:tcW w:type="dxa" w:w="2268"/>
          </w:tcPr>
          <w:p>
            <w:r>
              <w:rPr>
                <w:sz w:val="20"/>
              </w:rPr>
              <w:t>Flag invoices with price deviations &gt;5%</w:t>
            </w:r>
          </w:p>
        </w:tc>
        <w:tc>
          <w:tcPr>
            <w:tcW w:type="dxa" w:w="2268"/>
          </w:tcPr>
          <w:p>
            <w:r>
              <w:rPr>
                <w:sz w:val="20"/>
              </w:rPr>
              <w:t>finance_invoices + PO + GRN tables</w:t>
            </w:r>
          </w:p>
        </w:tc>
      </w:tr>
      <w:tr>
        <w:tc>
          <w:tcPr>
            <w:tcW w:type="dxa" w:w="2268"/>
            <w:shd w:val="clear" w:color="auto" w:fill="F5F5F4"/>
          </w:tcPr>
          <w:p>
            <w:r>
              <w:rPr>
                <w:sz w:val="20"/>
              </w:rPr>
              <w:t>3-Way Match Confidence</w:t>
            </w:r>
          </w:p>
        </w:tc>
        <w:tc>
          <w:tcPr>
            <w:tcW w:type="dxa" w:w="2268"/>
            <w:shd w:val="clear" w:color="auto" w:fill="F5F5F4"/>
          </w:tcPr>
          <w:p>
            <w:r>
              <w:rPr>
                <w:sz w:val="20"/>
              </w:rPr>
              <w:t>Multi-field matching + similarity scoring</w:t>
            </w:r>
          </w:p>
        </w:tc>
        <w:tc>
          <w:tcPr>
            <w:tcW w:type="dxa" w:w="2268"/>
            <w:shd w:val="clear" w:color="auto" w:fill="F5F5F4"/>
          </w:tcPr>
          <w:p>
            <w:r>
              <w:rPr>
                <w:sz w:val="20"/>
              </w:rPr>
              <w:t>Match invoice -&gt; PO -&gt; GRN fields</w:t>
            </w:r>
          </w:p>
        </w:tc>
        <w:tc>
          <w:tcPr>
            <w:tcW w:type="dxa" w:w="2268"/>
            <w:shd w:val="clear" w:color="auto" w:fill="F5F5F4"/>
          </w:tcPr>
          <w:p>
            <w:r>
              <w:rPr>
                <w:sz w:val="20"/>
              </w:rPr>
              <w:t>supply_chain + finance tables</w:t>
            </w:r>
          </w:p>
        </w:tc>
      </w:tr>
      <w:tr>
        <w:tc>
          <w:tcPr>
            <w:tcW w:type="dxa" w:w="2268"/>
          </w:tcPr>
          <w:p>
            <w:r>
              <w:rPr>
                <w:sz w:val="20"/>
              </w:rPr>
              <w:t>Demand Forecasting</w:t>
            </w:r>
          </w:p>
        </w:tc>
        <w:tc>
          <w:tcPr>
            <w:tcW w:type="dxa" w:w="2268"/>
          </w:tcPr>
          <w:p>
            <w:r>
              <w:rPr>
                <w:sz w:val="20"/>
              </w:rPr>
              <w:t>Time-series forecasting</w:t>
            </w:r>
          </w:p>
        </w:tc>
        <w:tc>
          <w:tcPr>
            <w:tcW w:type="dxa" w:w="2268"/>
          </w:tcPr>
          <w:p>
            <w:r>
              <w:rPr>
                <w:sz w:val="20"/>
              </w:rPr>
              <w:t>Predict next 30-day product demand</w:t>
            </w:r>
          </w:p>
        </w:tc>
        <w:tc>
          <w:tcPr>
            <w:tcW w:type="dxa" w:w="2268"/>
          </w:tcPr>
          <w:p>
            <w:r>
              <w:rPr>
                <w:sz w:val="20"/>
              </w:rPr>
              <w:t>sales_orders + inventory movement history</w:t>
            </w:r>
          </w:p>
        </w:tc>
      </w:tr>
      <w:tr>
        <w:tc>
          <w:tcPr>
            <w:tcW w:type="dxa" w:w="2268"/>
            <w:shd w:val="clear" w:color="auto" w:fill="F5F5F4"/>
          </w:tcPr>
          <w:p>
            <w:r>
              <w:rPr>
                <w:sz w:val="20"/>
              </w:rPr>
              <w:t>Credit Risk Scoring</w:t>
            </w:r>
          </w:p>
        </w:tc>
        <w:tc>
          <w:tcPr>
            <w:tcW w:type="dxa" w:w="2268"/>
            <w:shd w:val="clear" w:color="auto" w:fill="F5F5F4"/>
          </w:tcPr>
          <w:p>
            <w:r>
              <w:rPr>
                <w:sz w:val="20"/>
              </w:rPr>
              <w:t>Classification / regression</w:t>
            </w:r>
          </w:p>
        </w:tc>
        <w:tc>
          <w:tcPr>
            <w:tcW w:type="dxa" w:w="2268"/>
            <w:shd w:val="clear" w:color="auto" w:fill="F5F5F4"/>
          </w:tcPr>
          <w:p>
            <w:r>
              <w:rPr>
                <w:sz w:val="20"/>
              </w:rPr>
              <w:t>Score customer creditworthiness</w:t>
            </w:r>
          </w:p>
        </w:tc>
        <w:tc>
          <w:tcPr>
            <w:tcW w:type="dxa" w:w="2268"/>
            <w:shd w:val="clear" w:color="auto" w:fill="F5F5F4"/>
          </w:tcPr>
          <w:p>
            <w:r>
              <w:rPr>
                <w:sz w:val="20"/>
              </w:rPr>
              <w:t>Customer payment history + order data</w:t>
            </w:r>
          </w:p>
        </w:tc>
      </w:tr>
      <w:tr>
        <w:tc>
          <w:tcPr>
            <w:tcW w:type="dxa" w:w="2268"/>
          </w:tcPr>
          <w:p>
            <w:r>
              <w:rPr>
                <w:sz w:val="20"/>
              </w:rPr>
              <w:t>Workflow Routing Recommendation</w:t>
            </w:r>
          </w:p>
        </w:tc>
        <w:tc>
          <w:tcPr>
            <w:tcW w:type="dxa" w:w="2268"/>
          </w:tcPr>
          <w:p>
            <w:r>
              <w:rPr>
                <w:sz w:val="20"/>
              </w:rPr>
              <w:t>Classification</w:t>
            </w:r>
          </w:p>
        </w:tc>
        <w:tc>
          <w:tcPr>
            <w:tcW w:type="dxa" w:w="2268"/>
          </w:tcPr>
          <w:p>
            <w:r>
              <w:rPr>
                <w:sz w:val="20"/>
              </w:rPr>
              <w:t>Route step to right role based on context</w:t>
            </w:r>
          </w:p>
        </w:tc>
        <w:tc>
          <w:tcPr>
            <w:tcW w:type="dxa" w:w="2268"/>
          </w:tcPr>
          <w:p>
            <w:r>
              <w:rPr>
                <w:sz w:val="20"/>
              </w:rPr>
              <w:t>flow_tasks + audit events + user profiles</w:t>
            </w:r>
          </w:p>
        </w:tc>
      </w:tr>
      <w:tr>
        <w:tc>
          <w:tcPr>
            <w:tcW w:type="dxa" w:w="2268"/>
            <w:shd w:val="clear" w:color="auto" w:fill="F5F5F4"/>
          </w:tcPr>
          <w:p>
            <w:r>
              <w:rPr>
                <w:sz w:val="20"/>
              </w:rPr>
              <w:t>Predictive Stockout Alerts</w:t>
            </w:r>
          </w:p>
        </w:tc>
        <w:tc>
          <w:tcPr>
            <w:tcW w:type="dxa" w:w="2268"/>
            <w:shd w:val="clear" w:color="auto" w:fill="F5F5F4"/>
          </w:tcPr>
          <w:p>
            <w:r>
              <w:rPr>
                <w:sz w:val="20"/>
              </w:rPr>
              <w:t>Threshold detection + forecasting</w:t>
            </w:r>
          </w:p>
        </w:tc>
        <w:tc>
          <w:tcPr>
            <w:tcW w:type="dxa" w:w="2268"/>
            <w:shd w:val="clear" w:color="auto" w:fill="F5F5F4"/>
          </w:tcPr>
          <w:p>
            <w:r>
              <w:rPr>
                <w:sz w:val="20"/>
              </w:rPr>
              <w:t>Alert when stock likely to hit zero in 7 days</w:t>
            </w:r>
          </w:p>
        </w:tc>
        <w:tc>
          <w:tcPr>
            <w:tcW w:type="dxa" w:w="2268"/>
            <w:shd w:val="clear" w:color="auto" w:fill="F5F5F4"/>
          </w:tcPr>
          <w:p>
            <w:r>
              <w:rPr>
                <w:sz w:val="20"/>
              </w:rPr>
              <w:t>inventory_movements + demand forecast</w:t>
            </w:r>
          </w:p>
        </w:tc>
      </w:tr>
      <w:tr>
        <w:tc>
          <w:tcPr>
            <w:tcW w:type="dxa" w:w="2268"/>
          </w:tcPr>
          <w:p>
            <w:r>
              <w:rPr>
                <w:sz w:val="20"/>
              </w:rPr>
              <w:t>Duplicate Invoice Detection</w:t>
            </w:r>
          </w:p>
        </w:tc>
        <w:tc>
          <w:tcPr>
            <w:tcW w:type="dxa" w:w="2268"/>
          </w:tcPr>
          <w:p>
            <w:r>
              <w:rPr>
                <w:sz w:val="20"/>
              </w:rPr>
              <w:t>Similarity matching + deduplication</w:t>
            </w:r>
          </w:p>
        </w:tc>
        <w:tc>
          <w:tcPr>
            <w:tcW w:type="dxa" w:w="2268"/>
          </w:tcPr>
          <w:p>
            <w:r>
              <w:rPr>
                <w:sz w:val="20"/>
              </w:rPr>
              <w:t>Flag invoices with same amount/vendor/period</w:t>
            </w:r>
          </w:p>
        </w:tc>
        <w:tc>
          <w:tcPr>
            <w:tcW w:type="dxa" w:w="2268"/>
          </w:tcPr>
          <w:p>
            <w:r>
              <w:rPr>
                <w:sz w:val="20"/>
              </w:rPr>
              <w:t>finance_invoices table features</w:t>
            </w:r>
          </w:p>
        </w:tc>
      </w:tr>
    </w:tbl>
    <w:p/>
    <w:p>
      <w:pPr>
        <w:pStyle w:val="Heading2"/>
        <w:spacing w:before="200" w:after="80"/>
      </w:pPr>
      <w:r>
        <w:rPr>
          <w:b/>
          <w:color w:val="1A1A2E"/>
          <w:sz w:val="32"/>
        </w:rPr>
        <w:t>Data Sources and Architecture</w:t>
      </w:r>
    </w:p>
    <w:p>
      <w:pPr>
        <w:spacing w:after="80"/>
      </w:pPr>
      <w:r>
        <w:rPr>
          <w:color w:val="1C1917"/>
          <w:sz w:val="22"/>
        </w:rPr>
        <w:t>BES's architecture naturally produces high-quality, structured AI training data:</w:t>
      </w:r>
    </w:p>
    <w:p>
      <w:pPr>
        <w:pStyle w:val="ListBullet"/>
        <w:spacing w:after="40"/>
        <w:ind w:left="360"/>
      </w:pPr>
      <w:r>
        <w:rPr>
          <w:color w:val="1C1917"/>
          <w:sz w:val="22"/>
        </w:rPr>
        <w:t>Every workflow event is captured in the EventStore with type, payload, timestamp, and correlation ID. This is a rich, labeled event stream for training sequence models.</w:t>
      </w:r>
    </w:p>
    <w:p>
      <w:pPr>
        <w:pStyle w:val="ListBullet"/>
        <w:spacing w:after="40"/>
        <w:ind w:left="360"/>
      </w:pPr>
      <w:r>
        <w:rPr>
          <w:color w:val="1C1917"/>
          <w:sz w:val="22"/>
        </w:rPr>
        <w:t>Every entity has a full audit trail — creation, modification, status transitions, who did what and when. This creates supervision labels automatically.</w:t>
      </w:r>
    </w:p>
    <w:p>
      <w:pPr>
        <w:pStyle w:val="ListBullet"/>
        <w:spacing w:after="40"/>
        <w:ind w:left="360"/>
      </w:pPr>
      <w:r>
        <w:rPr>
          <w:color w:val="1C1917"/>
          <w:sz w:val="22"/>
        </w:rPr>
        <w:t>The version_id optimistic locking conflicts are a signal for identifying high-contention scenarios and potential data quality issues.</w:t>
      </w:r>
    </w:p>
    <w:p>
      <w:pPr>
        <w:pStyle w:val="ListBullet"/>
        <w:spacing w:after="40"/>
        <w:ind w:left="360"/>
      </w:pPr>
      <w:r>
        <w:rPr>
          <w:color w:val="1C1917"/>
          <w:sz w:val="22"/>
        </w:rPr>
        <w:t>The metadata_ JSONB column on BESBase provides a flexible schema for capturing domain-specific signals without schema migrations.</w:t>
      </w:r>
    </w:p>
    <w:p>
      <w:pPr>
        <w:pStyle w:val="ListBullet"/>
        <w:spacing w:after="40"/>
        <w:ind w:left="360"/>
      </w:pPr>
      <w:r>
        <w:rPr>
          <w:color w:val="1C1917"/>
          <w:sz w:val="22"/>
        </w:rPr>
        <w:t>Subsidiary-scoped data allows per-tenant model personalization while maintaining strict data isolation boundaries.</w:t>
      </w:r>
    </w:p>
    <w:p>
      <w:pPr>
        <w:pStyle w:val="Heading2"/>
        <w:spacing w:before="200" w:after="80"/>
      </w:pPr>
      <w:r>
        <w:rPr>
          <w:b/>
          <w:color w:val="1A1A2E"/>
          <w:sz w:val="32"/>
        </w:rPr>
        <w:t>Data Assumptions — Being Honest</w:t>
      </w:r>
    </w:p>
    <w:p>
      <w:pPr>
        <w:pStyle w:val="ListBullet"/>
        <w:spacing w:after="40"/>
        <w:ind w:left="360"/>
      </w:pPr>
      <w:r>
        <w:rPr>
          <w:color w:val="1C1917"/>
          <w:sz w:val="22"/>
        </w:rPr>
        <w:t>Clean historical data: We assume tenants migrating from existing systems will have at least 12 months of transaction history. Without this, forecasting models cannot be trained meaningfully — we need a cold-start plan.</w:t>
      </w:r>
    </w:p>
    <w:p>
      <w:pPr>
        <w:pStyle w:val="ListBullet"/>
        <w:spacing w:after="40"/>
        <w:ind w:left="360"/>
      </w:pPr>
      <w:r>
        <w:rPr>
          <w:color w:val="1C1917"/>
          <w:sz w:val="22"/>
        </w:rPr>
        <w:t>Label quality: For supervised tasks like credit scoring, we need historical outcomes (did this customer actually default?). New tenants will use rule-based heuristics before ML models have enough data.</w:t>
      </w:r>
    </w:p>
    <w:p>
      <w:pPr>
        <w:pStyle w:val="ListBullet"/>
        <w:spacing w:after="40"/>
        <w:ind w:left="360"/>
      </w:pPr>
      <w:r>
        <w:rPr>
          <w:color w:val="1C1917"/>
          <w:sz w:val="22"/>
        </w:rPr>
        <w:t>Format consistency: Vendor invoices come in many formats. Document extraction APIs handle structural variety well, but unusual formats will require human correction in early months.</w:t>
      </w:r>
    </w:p>
    <w:p>
      <w:pPr>
        <w:pStyle w:val="Heading2"/>
        <w:spacing w:before="200" w:after="80"/>
      </w:pPr>
      <w:r>
        <w:rPr>
          <w:b/>
          <w:color w:val="1A1A2E"/>
          <w:sz w:val="32"/>
        </w:rPr>
        <w:t>Baseline Comparisons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sz w:val="20"/>
              </w:rPr>
              <w:t>AI Feature</w:t>
            </w:r>
          </w:p>
        </w:tc>
        <w:tc>
          <w:tcPr>
            <w:tcW w:type="dxa" w:w="2268"/>
            <w:shd w:val="clear" w:color="auto" w:fill="1A1A2E"/>
          </w:tcPr>
          <w:p>
            <w:r>
              <w:rPr>
                <w:b/>
                <w:color w:val="FFFFFF"/>
                <w:sz w:val="20"/>
              </w:rPr>
              <w:t>Baseline (Non-AI)</w:t>
            </w:r>
          </w:p>
        </w:tc>
        <w:tc>
          <w:tcPr>
            <w:tcW w:type="dxa" w:w="2268"/>
            <w:shd w:val="clear" w:color="auto" w:fill="1A1A2E"/>
          </w:tcPr>
          <w:p>
            <w:r>
              <w:rPr>
                <w:b/>
                <w:color w:val="FFFFFF"/>
                <w:sz w:val="20"/>
              </w:rPr>
              <w:t>AI Target</w:t>
            </w:r>
          </w:p>
        </w:tc>
        <w:tc>
          <w:tcPr>
            <w:tcW w:type="dxa" w:w="2268"/>
            <w:shd w:val="clear" w:color="auto" w:fill="1A1A2E"/>
          </w:tcPr>
          <w:p>
            <w:r>
              <w:rPr>
                <w:b/>
                <w:color w:val="FFFFFF"/>
                <w:sz w:val="20"/>
              </w:rPr>
              <w:t>Why AI Beats Baseline</w:t>
            </w:r>
          </w:p>
        </w:tc>
      </w:tr>
      <w:tr>
        <w:tc>
          <w:tcPr>
            <w:tcW w:type="dxa" w:w="2268"/>
          </w:tcPr>
          <w:p>
            <w:r>
              <w:rPr>
                <w:sz w:val="20"/>
              </w:rPr>
              <w:t>Invoice matching</w:t>
            </w:r>
          </w:p>
        </w:tc>
        <w:tc>
          <w:tcPr>
            <w:tcW w:type="dxa" w:w="2268"/>
          </w:tcPr>
          <w:p>
            <w:r>
              <w:rPr>
                <w:sz w:val="20"/>
              </w:rPr>
              <w:t>100% manual review by accountant</w:t>
            </w:r>
          </w:p>
        </w:tc>
        <w:tc>
          <w:tcPr>
            <w:tcW w:type="dxa" w:w="2268"/>
          </w:tcPr>
          <w:p>
            <w:r>
              <w:rPr>
                <w:sz w:val="20"/>
              </w:rPr>
              <w:t>&gt;90% auto-match rate</w:t>
            </w:r>
          </w:p>
        </w:tc>
        <w:tc>
          <w:tcPr>
            <w:tcW w:type="dxa" w:w="2268"/>
          </w:tcPr>
          <w:p>
            <w:r>
              <w:rPr>
                <w:sz w:val="20"/>
              </w:rPr>
              <w:t>Rule-based matching fails on format variation and subtle discrepancies</w:t>
            </w:r>
          </w:p>
        </w:tc>
      </w:tr>
      <w:tr>
        <w:tc>
          <w:tcPr>
            <w:tcW w:type="dxa" w:w="2268"/>
            <w:shd w:val="clear" w:color="auto" w:fill="F5F5F4"/>
          </w:tcPr>
          <w:p>
            <w:r>
              <w:rPr>
                <w:sz w:val="20"/>
              </w:rPr>
              <w:t>Demand forecasting</w:t>
            </w:r>
          </w:p>
        </w:tc>
        <w:tc>
          <w:tcPr>
            <w:tcW w:type="dxa" w:w="2268"/>
            <w:shd w:val="clear" w:color="auto" w:fill="F5F5F4"/>
          </w:tcPr>
          <w:p>
            <w:r>
              <w:rPr>
                <w:sz w:val="20"/>
              </w:rPr>
              <w:t>Buyer gut feel + last year's numbers</w:t>
            </w:r>
          </w:p>
        </w:tc>
        <w:tc>
          <w:tcPr>
            <w:tcW w:type="dxa" w:w="2268"/>
            <w:shd w:val="clear" w:color="auto" w:fill="F5F5F4"/>
          </w:tcPr>
          <w:p>
            <w:r>
              <w:rPr>
                <w:sz w:val="20"/>
              </w:rPr>
              <w:t>+-15% accuracy at 30-day horizon</w:t>
            </w:r>
          </w:p>
        </w:tc>
        <w:tc>
          <w:tcPr>
            <w:tcW w:type="dxa" w:w="2268"/>
            <w:shd w:val="clear" w:color="auto" w:fill="F5F5F4"/>
          </w:tcPr>
          <w:p>
            <w:r>
              <w:rPr>
                <w:sz w:val="20"/>
              </w:rPr>
              <w:t>Rule-based reorder points don't account for seasonal variation or trend shifts</w:t>
            </w:r>
          </w:p>
        </w:tc>
      </w:tr>
      <w:tr>
        <w:tc>
          <w:tcPr>
            <w:tcW w:type="dxa" w:w="2268"/>
          </w:tcPr>
          <w:p>
            <w:r>
              <w:rPr>
                <w:sz w:val="20"/>
              </w:rPr>
              <w:t>Credit scoring</w:t>
            </w:r>
          </w:p>
        </w:tc>
        <w:tc>
          <w:tcPr>
            <w:tcW w:type="dxa" w:w="2268"/>
          </w:tcPr>
          <w:p>
            <w:r>
              <w:rPr>
                <w:sz w:val="20"/>
              </w:rPr>
              <w:t>Finance manager manually checks history</w:t>
            </w:r>
          </w:p>
        </w:tc>
        <w:tc>
          <w:tcPr>
            <w:tcW w:type="dxa" w:w="2268"/>
          </w:tcPr>
          <w:p>
            <w:r>
              <w:rPr>
                <w:sz w:val="20"/>
              </w:rPr>
              <w:t>Consistent scoring in &lt;1 second</w:t>
            </w:r>
          </w:p>
        </w:tc>
        <w:tc>
          <w:tcPr>
            <w:tcW w:type="dxa" w:w="2268"/>
          </w:tcPr>
          <w:p>
            <w:r>
              <w:rPr>
                <w:sz w:val="20"/>
              </w:rPr>
              <w:t>Human review is slow and inconsistent across reviewers</w:t>
            </w:r>
          </w:p>
        </w:tc>
      </w:tr>
      <w:tr>
        <w:tc>
          <w:tcPr>
            <w:tcW w:type="dxa" w:w="2268"/>
            <w:shd w:val="clear" w:color="auto" w:fill="F5F5F4"/>
          </w:tcPr>
          <w:p>
            <w:r>
              <w:rPr>
                <w:sz w:val="20"/>
              </w:rPr>
              <w:t>Stockout alerts</w:t>
            </w:r>
          </w:p>
        </w:tc>
        <w:tc>
          <w:tcPr>
            <w:tcW w:type="dxa" w:w="2268"/>
            <w:shd w:val="clear" w:color="auto" w:fill="F5F5F4"/>
          </w:tcPr>
          <w:p>
            <w:r>
              <w:rPr>
                <w:sz w:val="20"/>
              </w:rPr>
              <w:t>Weekly manual inventory review</w:t>
            </w:r>
          </w:p>
        </w:tc>
        <w:tc>
          <w:tcPr>
            <w:tcW w:type="dxa" w:w="2268"/>
            <w:shd w:val="clear" w:color="auto" w:fill="F5F5F4"/>
          </w:tcPr>
          <w:p>
            <w:r>
              <w:rPr>
                <w:sz w:val="20"/>
              </w:rPr>
              <w:t>Real-time alerts with 7-day lookahead</w:t>
            </w:r>
          </w:p>
        </w:tc>
        <w:tc>
          <w:tcPr>
            <w:tcW w:type="dxa" w:w="2268"/>
            <w:shd w:val="clear" w:color="auto" w:fill="F5F5F4"/>
          </w:tcPr>
          <w:p>
            <w:r>
              <w:rPr>
                <w:sz w:val="20"/>
              </w:rPr>
              <w:t>Manual review always lags actual consumption patterns</w:t>
            </w:r>
          </w:p>
        </w:tc>
      </w:tr>
    </w:tbl>
    <w:p/>
    <w:p>
      <w:pPr>
        <w:pStyle w:val="Heading2"/>
        <w:spacing w:before="200" w:after="80"/>
      </w:pPr>
      <w:r>
        <w:rPr>
          <w:b/>
          <w:color w:val="1A1A2E"/>
          <w:sz w:val="32"/>
        </w:rPr>
        <w:t>Evaluation Framework</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sz w:val="20"/>
              </w:rPr>
              <w:t>Metric Type</w:t>
            </w:r>
          </w:p>
        </w:tc>
        <w:tc>
          <w:tcPr>
            <w:tcW w:type="dxa" w:w="2268"/>
            <w:shd w:val="clear" w:color="auto" w:fill="1A1A2E"/>
          </w:tcPr>
          <w:p>
            <w:r>
              <w:rPr>
                <w:b/>
                <w:color w:val="FFFFFF"/>
                <w:sz w:val="20"/>
              </w:rPr>
              <w:t>Metric Name</w:t>
            </w:r>
          </w:p>
        </w:tc>
        <w:tc>
          <w:tcPr>
            <w:tcW w:type="dxa" w:w="2268"/>
            <w:shd w:val="clear" w:color="auto" w:fill="1A1A2E"/>
          </w:tcPr>
          <w:p>
            <w:r>
              <w:rPr>
                <w:b/>
                <w:color w:val="FFFFFF"/>
                <w:sz w:val="20"/>
              </w:rPr>
              <w:t>Why It Matters</w:t>
            </w:r>
          </w:p>
        </w:tc>
        <w:tc>
          <w:tcPr>
            <w:tcW w:type="dxa" w:w="2268"/>
            <w:shd w:val="clear" w:color="auto" w:fill="1A1A2E"/>
          </w:tcPr>
          <w:p>
            <w:r>
              <w:rPr>
                <w:b/>
                <w:color w:val="FFFFFF"/>
                <w:sz w:val="20"/>
              </w:rPr>
              <w:t>Target</w:t>
            </w:r>
          </w:p>
        </w:tc>
      </w:tr>
      <w:tr>
        <w:tc>
          <w:tcPr>
            <w:tcW w:type="dxa" w:w="2268"/>
          </w:tcPr>
          <w:p>
            <w:r>
              <w:rPr>
                <w:sz w:val="20"/>
              </w:rPr>
              <w:t>Technical</w:t>
            </w:r>
          </w:p>
        </w:tc>
        <w:tc>
          <w:tcPr>
            <w:tcW w:type="dxa" w:w="2268"/>
          </w:tcPr>
          <w:p>
            <w:r>
              <w:rPr>
                <w:sz w:val="20"/>
              </w:rPr>
              <w:t>Invoice match precision</w:t>
            </w:r>
          </w:p>
        </w:tc>
        <w:tc>
          <w:tcPr>
            <w:tcW w:type="dxa" w:w="2268"/>
          </w:tcPr>
          <w:p>
            <w:r>
              <w:rPr>
                <w:sz w:val="20"/>
              </w:rPr>
              <w:t>Avoid false auto-approvals</w:t>
            </w:r>
          </w:p>
        </w:tc>
        <w:tc>
          <w:tcPr>
            <w:tcW w:type="dxa" w:w="2268"/>
          </w:tcPr>
          <w:p>
            <w:r>
              <w:rPr>
                <w:sz w:val="20"/>
              </w:rPr>
              <w:t>&gt;92%</w:t>
            </w:r>
          </w:p>
        </w:tc>
      </w:tr>
      <w:tr>
        <w:tc>
          <w:tcPr>
            <w:tcW w:type="dxa" w:w="2268"/>
            <w:shd w:val="clear" w:color="auto" w:fill="F5F5F4"/>
          </w:tcPr>
          <w:p>
            <w:r>
              <w:rPr>
                <w:sz w:val="20"/>
              </w:rPr>
              <w:t>Technical</w:t>
            </w:r>
          </w:p>
        </w:tc>
        <w:tc>
          <w:tcPr>
            <w:tcW w:type="dxa" w:w="2268"/>
            <w:shd w:val="clear" w:color="auto" w:fill="F5F5F4"/>
          </w:tcPr>
          <w:p>
            <w:r>
              <w:rPr>
                <w:sz w:val="20"/>
              </w:rPr>
              <w:t>Invoice match recall</w:t>
            </w:r>
          </w:p>
        </w:tc>
        <w:tc>
          <w:tcPr>
            <w:tcW w:type="dxa" w:w="2268"/>
            <w:shd w:val="clear" w:color="auto" w:fill="F5F5F4"/>
          </w:tcPr>
          <w:p>
            <w:r>
              <w:rPr>
                <w:sz w:val="20"/>
              </w:rPr>
              <w:t>Catch all true matches</w:t>
            </w:r>
          </w:p>
        </w:tc>
        <w:tc>
          <w:tcPr>
            <w:tcW w:type="dxa" w:w="2268"/>
            <w:shd w:val="clear" w:color="auto" w:fill="F5F5F4"/>
          </w:tcPr>
          <w:p>
            <w:r>
              <w:rPr>
                <w:sz w:val="20"/>
              </w:rPr>
              <w:t>&gt;88%</w:t>
            </w:r>
          </w:p>
        </w:tc>
      </w:tr>
      <w:tr>
        <w:tc>
          <w:tcPr>
            <w:tcW w:type="dxa" w:w="2268"/>
          </w:tcPr>
          <w:p>
            <w:r>
              <w:rPr>
                <w:sz w:val="20"/>
              </w:rPr>
              <w:t>Technical</w:t>
            </w:r>
          </w:p>
        </w:tc>
        <w:tc>
          <w:tcPr>
            <w:tcW w:type="dxa" w:w="2268"/>
          </w:tcPr>
          <w:p>
            <w:r>
              <w:rPr>
                <w:sz w:val="20"/>
              </w:rPr>
              <w:t>Duplicate detection precision</w:t>
            </w:r>
          </w:p>
        </w:tc>
        <w:tc>
          <w:tcPr>
            <w:tcW w:type="dxa" w:w="2268"/>
          </w:tcPr>
          <w:p>
            <w:r>
              <w:rPr>
                <w:sz w:val="20"/>
              </w:rPr>
              <w:t>Avoid flagging legitimate invoices</w:t>
            </w:r>
          </w:p>
        </w:tc>
        <w:tc>
          <w:tcPr>
            <w:tcW w:type="dxa" w:w="2268"/>
          </w:tcPr>
          <w:p>
            <w:r>
              <w:rPr>
                <w:sz w:val="20"/>
              </w:rPr>
              <w:t>&gt;95%</w:t>
            </w:r>
          </w:p>
        </w:tc>
      </w:tr>
      <w:tr>
        <w:tc>
          <w:tcPr>
            <w:tcW w:type="dxa" w:w="2268"/>
            <w:shd w:val="clear" w:color="auto" w:fill="F5F5F4"/>
          </w:tcPr>
          <w:p>
            <w:r>
              <w:rPr>
                <w:sz w:val="20"/>
              </w:rPr>
              <w:t>Technical</w:t>
            </w:r>
          </w:p>
        </w:tc>
        <w:tc>
          <w:tcPr>
            <w:tcW w:type="dxa" w:w="2268"/>
            <w:shd w:val="clear" w:color="auto" w:fill="F5F5F4"/>
          </w:tcPr>
          <w:p>
            <w:r>
              <w:rPr>
                <w:sz w:val="20"/>
              </w:rPr>
              <w:t>Demand forecast MAPE</w:t>
            </w:r>
          </w:p>
        </w:tc>
        <w:tc>
          <w:tcPr>
            <w:tcW w:type="dxa" w:w="2268"/>
            <w:shd w:val="clear" w:color="auto" w:fill="F5F5F4"/>
          </w:tcPr>
          <w:p>
            <w:r>
              <w:rPr>
                <w:sz w:val="20"/>
              </w:rPr>
              <w:t>Measure forecast accuracy</w:t>
            </w:r>
          </w:p>
        </w:tc>
        <w:tc>
          <w:tcPr>
            <w:tcW w:type="dxa" w:w="2268"/>
            <w:shd w:val="clear" w:color="auto" w:fill="F5F5F4"/>
          </w:tcPr>
          <w:p>
            <w:r>
              <w:rPr>
                <w:sz w:val="20"/>
              </w:rPr>
              <w:t>&lt;15% mean absolute percentage error</w:t>
            </w:r>
          </w:p>
        </w:tc>
      </w:tr>
      <w:tr>
        <w:tc>
          <w:tcPr>
            <w:tcW w:type="dxa" w:w="2268"/>
          </w:tcPr>
          <w:p>
            <w:r>
              <w:rPr>
                <w:sz w:val="20"/>
              </w:rPr>
              <w:t>Business</w:t>
            </w:r>
          </w:p>
        </w:tc>
        <w:tc>
          <w:tcPr>
            <w:tcW w:type="dxa" w:w="2268"/>
          </w:tcPr>
          <w:p>
            <w:r>
              <w:rPr>
                <w:sz w:val="20"/>
              </w:rPr>
              <w:t>Reduction in invoice review time</w:t>
            </w:r>
          </w:p>
        </w:tc>
        <w:tc>
          <w:tcPr>
            <w:tcW w:type="dxa" w:w="2268"/>
          </w:tcPr>
          <w:p>
            <w:r>
              <w:rPr>
                <w:sz w:val="20"/>
              </w:rPr>
              <w:t>Direct productivity gain</w:t>
            </w:r>
          </w:p>
        </w:tc>
        <w:tc>
          <w:tcPr>
            <w:tcW w:type="dxa" w:w="2268"/>
          </w:tcPr>
          <w:p>
            <w:r>
              <w:rPr>
                <w:sz w:val="20"/>
              </w:rPr>
              <w:t>&gt;40% reduction vs. baseline</w:t>
            </w:r>
          </w:p>
        </w:tc>
      </w:tr>
      <w:tr>
        <w:tc>
          <w:tcPr>
            <w:tcW w:type="dxa" w:w="2268"/>
            <w:shd w:val="clear" w:color="auto" w:fill="F5F5F4"/>
          </w:tcPr>
          <w:p>
            <w:r>
              <w:rPr>
                <w:sz w:val="20"/>
              </w:rPr>
              <w:t>Business</w:t>
            </w:r>
          </w:p>
        </w:tc>
        <w:tc>
          <w:tcPr>
            <w:tcW w:type="dxa" w:w="2268"/>
            <w:shd w:val="clear" w:color="auto" w:fill="F5F5F4"/>
          </w:tcPr>
          <w:p>
            <w:r>
              <w:rPr>
                <w:sz w:val="20"/>
              </w:rPr>
              <w:t>Straight-through processing rate</w:t>
            </w:r>
          </w:p>
        </w:tc>
        <w:tc>
          <w:tcPr>
            <w:tcW w:type="dxa" w:w="2268"/>
            <w:shd w:val="clear" w:color="auto" w:fill="F5F5F4"/>
          </w:tcPr>
          <w:p>
            <w:r>
              <w:rPr>
                <w:sz w:val="20"/>
              </w:rPr>
              <w:t>% of invoices auto-approved with no human touch</w:t>
            </w:r>
          </w:p>
        </w:tc>
        <w:tc>
          <w:tcPr>
            <w:tcW w:type="dxa" w:w="2268"/>
            <w:shd w:val="clear" w:color="auto" w:fill="F5F5F4"/>
          </w:tcPr>
          <w:p>
            <w:r>
              <w:rPr>
                <w:sz w:val="20"/>
              </w:rPr>
              <w:t>&gt;60% at steady state</w:t>
            </w:r>
          </w:p>
        </w:tc>
      </w:tr>
      <w:tr>
        <w:tc>
          <w:tcPr>
            <w:tcW w:type="dxa" w:w="2268"/>
          </w:tcPr>
          <w:p>
            <w:r>
              <w:rPr>
                <w:sz w:val="20"/>
              </w:rPr>
              <w:t>Trust</w:t>
            </w:r>
          </w:p>
        </w:tc>
        <w:tc>
          <w:tcPr>
            <w:tcW w:type="dxa" w:w="2268"/>
          </w:tcPr>
          <w:p>
            <w:r>
              <w:rPr>
                <w:sz w:val="20"/>
              </w:rPr>
              <w:t>Human override rate</w:t>
            </w:r>
          </w:p>
        </w:tc>
        <w:tc>
          <w:tcPr>
            <w:tcW w:type="dxa" w:w="2268"/>
          </w:tcPr>
          <w:p>
            <w:r>
              <w:rPr>
                <w:sz w:val="20"/>
              </w:rPr>
              <w:t>High override = users don't trust AI</w:t>
            </w:r>
          </w:p>
        </w:tc>
        <w:tc>
          <w:tcPr>
            <w:tcW w:type="dxa" w:w="2268"/>
          </w:tcPr>
          <w:p>
            <w:r>
              <w:rPr>
                <w:sz w:val="20"/>
              </w:rPr>
              <w:t>&lt;20% at 90-day mark</w:t>
            </w:r>
          </w:p>
        </w:tc>
      </w:tr>
      <w:tr>
        <w:tc>
          <w:tcPr>
            <w:tcW w:type="dxa" w:w="2268"/>
            <w:shd w:val="clear" w:color="auto" w:fill="F5F5F4"/>
          </w:tcPr>
          <w:p>
            <w:r>
              <w:rPr>
                <w:sz w:val="20"/>
              </w:rPr>
              <w:t>Trust</w:t>
            </w:r>
          </w:p>
        </w:tc>
        <w:tc>
          <w:tcPr>
            <w:tcW w:type="dxa" w:w="2268"/>
            <w:shd w:val="clear" w:color="auto" w:fill="F5F5F4"/>
          </w:tcPr>
          <w:p>
            <w:r>
              <w:rPr>
                <w:sz w:val="20"/>
              </w:rPr>
              <w:t>False auto-approval rate</w:t>
            </w:r>
          </w:p>
        </w:tc>
        <w:tc>
          <w:tcPr>
            <w:tcW w:type="dxa" w:w="2268"/>
            <w:shd w:val="clear" w:color="auto" w:fill="F5F5F4"/>
          </w:tcPr>
          <w:p>
            <w:r>
              <w:rPr>
                <w:sz w:val="20"/>
              </w:rPr>
              <w:t>Unauthorized payment auto-approved</w:t>
            </w:r>
          </w:p>
        </w:tc>
        <w:tc>
          <w:tcPr>
            <w:tcW w:type="dxa" w:w="2268"/>
            <w:shd w:val="clear" w:color="auto" w:fill="F5F5F4"/>
          </w:tcPr>
          <w:p>
            <w:r>
              <w:rPr>
                <w:sz w:val="20"/>
              </w:rPr>
              <w:t>&lt;0.5% — this is a hard stop</w:t>
            </w:r>
          </w:p>
        </w:tc>
      </w:tr>
      <w:tr>
        <w:tc>
          <w:tcPr>
            <w:tcW w:type="dxa" w:w="2268"/>
          </w:tcPr>
          <w:p>
            <w:r>
              <w:rPr>
                <w:sz w:val="20"/>
              </w:rPr>
              <w:t>Trust</w:t>
            </w:r>
          </w:p>
        </w:tc>
        <w:tc>
          <w:tcPr>
            <w:tcW w:type="dxa" w:w="2268"/>
          </w:tcPr>
          <w:p>
            <w:r>
              <w:rPr>
                <w:sz w:val="20"/>
              </w:rPr>
              <w:t>Reviewer complaint rate</w:t>
            </w:r>
          </w:p>
        </w:tc>
        <w:tc>
          <w:tcPr>
            <w:tcW w:type="dxa" w:w="2268"/>
          </w:tcPr>
          <w:p>
            <w:r>
              <w:rPr>
                <w:sz w:val="20"/>
              </w:rPr>
              <w:t>Users saying AI made things worse</w:t>
            </w:r>
          </w:p>
        </w:tc>
        <w:tc>
          <w:tcPr>
            <w:tcW w:type="dxa" w:w="2268"/>
          </w:tcPr>
          <w:p>
            <w:r>
              <w:rPr>
                <w:sz w:val="20"/>
              </w:rPr>
              <w:t>&lt;5% of active users per month</w:t>
            </w:r>
          </w:p>
        </w:tc>
      </w:tr>
    </w:tbl>
    <w:p/>
    <w:p>
      <w:pPr>
        <w:pStyle w:val="Heading2"/>
        <w:spacing w:before="200" w:after="80"/>
      </w:pPr>
      <w:r>
        <w:rPr>
          <w:b/>
          <w:color w:val="1A1A2E"/>
          <w:sz w:val="32"/>
        </w:rPr>
        <w:t>Launch / Go-No-Go Thresholds</w:t>
      </w:r>
    </w:p>
    <w:p>
      <w:pPr>
        <w:spacing w:after="80"/>
      </w:pPr>
      <w:r>
        <w:rPr>
          <w:color w:val="1C1917"/>
          <w:sz w:val="22"/>
        </w:rPr>
        <w:t>We will not move from pilot to production scale until ALL of the following are met:</w:t>
      </w:r>
    </w:p>
    <w:p>
      <w:pPr>
        <w:pStyle w:val="ListBullet"/>
        <w:spacing w:after="40"/>
        <w:ind w:left="360"/>
      </w:pPr>
      <w:r>
        <w:rPr>
          <w:color w:val="1C1917"/>
          <w:sz w:val="22"/>
        </w:rPr>
        <w:t>Invoice match precision &gt;= 90% on the pilot dataset using real vendor invoices from the pilot tenant.</w:t>
      </w:r>
    </w:p>
    <w:p>
      <w:pPr>
        <w:pStyle w:val="ListBullet"/>
        <w:spacing w:after="40"/>
        <w:ind w:left="360"/>
      </w:pPr>
      <w:r>
        <w:rPr>
          <w:color w:val="1C1917"/>
          <w:sz w:val="22"/>
        </w:rPr>
        <w:t>False auto-approval rate &lt; 0.5% over a 30-day observation period — this is a non-negotiable hard stop.</w:t>
      </w:r>
    </w:p>
    <w:p>
      <w:pPr>
        <w:pStyle w:val="ListBullet"/>
        <w:spacing w:after="40"/>
        <w:ind w:left="360"/>
      </w:pPr>
      <w:r>
        <w:rPr>
          <w:color w:val="1C1917"/>
          <w:sz w:val="22"/>
        </w:rPr>
        <w:t>Human override rate declining over the pilot period — indicating improving trust in AI recommendations.</w:t>
      </w:r>
    </w:p>
    <w:p>
      <w:pPr>
        <w:pStyle w:val="ListBullet"/>
        <w:spacing w:after="40"/>
        <w:ind w:left="360"/>
      </w:pPr>
      <w:r>
        <w:rPr>
          <w:color w:val="1C1917"/>
          <w:sz w:val="22"/>
        </w:rPr>
        <w:t>Zero critical security incidents involving AI-generated financial entries.</w:t>
      </w:r>
    </w:p>
    <w:p>
      <w:pPr>
        <w:pStyle w:val="ListBullet"/>
        <w:spacing w:after="40"/>
        <w:ind w:left="360"/>
      </w:pPr>
      <w:r>
        <w:rPr>
          <w:color w:val="1C1917"/>
          <w:sz w:val="22"/>
        </w:rPr>
        <w:t>Pilot user NPS &gt;= 30 — users would recommend the AI features to peers.</w:t>
      </w:r>
    </w:p>
    <w:p>
      <w:r>
        <w:br w:type="page"/>
      </w:r>
    </w:p>
    <w:p>
      <w:pPr>
        <w:pStyle w:val="Heading1"/>
        <w:spacing w:before="280" w:after="80"/>
      </w:pPr>
      <w:r>
        <w:rPr>
          <w:b/>
          <w:color w:val="1A1A2E"/>
          <w:sz w:val="44"/>
        </w:rPr>
        <w:t>6. Business, Economics, and Scaling View</w:t>
      </w:r>
    </w:p>
    <w:p>
      <w:pPr>
        <w:pStyle w:val="Heading2"/>
        <w:spacing w:before="200" w:after="80"/>
      </w:pPr>
      <w:r>
        <w:rPr>
          <w:b/>
          <w:color w:val="1A1A2E"/>
          <w:sz w:val="32"/>
        </w:rPr>
        <w:t>Monetization Model</w:t>
      </w:r>
    </w:p>
    <w:p>
      <w:pPr>
        <w:spacing w:after="80"/>
      </w:pPr>
      <w:r>
        <w:rPr>
          <w:color w:val="1C1917"/>
          <w:sz w:val="22"/>
        </w:rPr>
        <w:t>BES uses a tiered SaaS subscription model with three named tiers — Basic, Professional, and Enterprise Premium — plus a Custom tier for large enterprise contracts. Pricing is per-tenant, not per-seat, which makes it attractive for growing businesses that want predictable costs.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A1A2E"/>
          </w:tcPr>
          <w:p>
            <w:r>
              <w:rPr>
                <w:b/>
                <w:color w:val="FFFFFF"/>
                <w:sz w:val="20"/>
              </w:rPr>
              <w:t>Tier</w:t>
            </w:r>
          </w:p>
        </w:tc>
        <w:tc>
          <w:tcPr>
            <w:tcW w:type="dxa" w:w="1814"/>
            <w:shd w:val="clear" w:color="auto" w:fill="1A1A2E"/>
          </w:tcPr>
          <w:p>
            <w:r>
              <w:rPr>
                <w:b/>
                <w:color w:val="FFFFFF"/>
                <w:sz w:val="20"/>
              </w:rPr>
              <w:t>Target Customer</w:t>
            </w:r>
          </w:p>
        </w:tc>
        <w:tc>
          <w:tcPr>
            <w:tcW w:type="dxa" w:w="1814"/>
            <w:shd w:val="clear" w:color="auto" w:fill="1A1A2E"/>
          </w:tcPr>
          <w:p>
            <w:r>
              <w:rPr>
                <w:b/>
                <w:color w:val="FFFFFF"/>
                <w:sz w:val="20"/>
              </w:rPr>
              <w:t>Key Features</w:t>
            </w:r>
          </w:p>
        </w:tc>
        <w:tc>
          <w:tcPr>
            <w:tcW w:type="dxa" w:w="1814"/>
            <w:shd w:val="clear" w:color="auto" w:fill="1A1A2E"/>
          </w:tcPr>
          <w:p>
            <w:r>
              <w:rPr>
                <w:b/>
                <w:color w:val="FFFFFF"/>
                <w:sz w:val="20"/>
              </w:rPr>
              <w:t>AI Included</w:t>
            </w:r>
          </w:p>
        </w:tc>
        <w:tc>
          <w:tcPr>
            <w:tcW w:type="dxa" w:w="1814"/>
            <w:shd w:val="clear" w:color="auto" w:fill="1A1A2E"/>
          </w:tcPr>
          <w:p>
            <w:r>
              <w:rPr>
                <w:b/>
                <w:color w:val="FFFFFF"/>
                <w:sz w:val="20"/>
              </w:rPr>
              <w:t>Price Range</w:t>
            </w:r>
          </w:p>
        </w:tc>
      </w:tr>
      <w:tr>
        <w:tc>
          <w:tcPr>
            <w:tcW w:type="dxa" w:w="1814"/>
          </w:tcPr>
          <w:p>
            <w:r>
              <w:rPr>
                <w:sz w:val="20"/>
              </w:rPr>
              <w:t>Basic</w:t>
            </w:r>
          </w:p>
        </w:tc>
        <w:tc>
          <w:tcPr>
            <w:tcW w:type="dxa" w:w="1814"/>
          </w:tcPr>
          <w:p>
            <w:r>
              <w:rPr>
                <w:sz w:val="20"/>
              </w:rPr>
              <w:t>SMEs, early-stage companies</w:t>
            </w:r>
          </w:p>
        </w:tc>
        <w:tc>
          <w:tcPr>
            <w:tcW w:type="dxa" w:w="1814"/>
          </w:tcPr>
          <w:p>
            <w:r>
              <w:rPr>
                <w:sz w:val="20"/>
              </w:rPr>
              <w:t>Sell, Buy, Stock flows</w:t>
            </w:r>
          </w:p>
        </w:tc>
        <w:tc>
          <w:tcPr>
            <w:tcW w:type="dxa" w:w="1814"/>
          </w:tcPr>
          <w:p>
            <w:r>
              <w:rPr>
                <w:sz w:val="20"/>
              </w:rPr>
              <w:t>Rule-based automation only</w:t>
            </w:r>
          </w:p>
        </w:tc>
        <w:tc>
          <w:tcPr>
            <w:tcW w:type="dxa" w:w="1814"/>
          </w:tcPr>
          <w:p>
            <w:r>
              <w:rPr>
                <w:sz w:val="20"/>
              </w:rPr>
              <w:t>USD 99-199/month</w:t>
            </w:r>
          </w:p>
        </w:tc>
      </w:tr>
      <w:tr>
        <w:tc>
          <w:tcPr>
            <w:tcW w:type="dxa" w:w="1814"/>
            <w:shd w:val="clear" w:color="auto" w:fill="F5F5F4"/>
          </w:tcPr>
          <w:p>
            <w:r>
              <w:rPr>
                <w:sz w:val="20"/>
              </w:rPr>
              <w:t>Professional</w:t>
            </w:r>
          </w:p>
        </w:tc>
        <w:tc>
          <w:tcPr>
            <w:tcW w:type="dxa" w:w="1814"/>
            <w:shd w:val="clear" w:color="auto" w:fill="F5F5F4"/>
          </w:tcPr>
          <w:p>
            <w:r>
              <w:rPr>
                <w:sz w:val="20"/>
              </w:rPr>
              <w:t>Growing mid-market companies</w:t>
            </w:r>
          </w:p>
        </w:tc>
        <w:tc>
          <w:tcPr>
            <w:tcW w:type="dxa" w:w="1814"/>
            <w:shd w:val="clear" w:color="auto" w:fill="F5F5F4"/>
          </w:tcPr>
          <w:p>
            <w:r>
              <w:rPr>
                <w:sz w:val="20"/>
              </w:rPr>
              <w:t>Basic + Money, People, CRM flows</w:t>
            </w:r>
          </w:p>
        </w:tc>
        <w:tc>
          <w:tcPr>
            <w:tcW w:type="dxa" w:w="1814"/>
            <w:shd w:val="clear" w:color="auto" w:fill="F5F5F4"/>
          </w:tcPr>
          <w:p>
            <w:r>
              <w:rPr>
                <w:sz w:val="20"/>
              </w:rPr>
              <w:t>AI invoice matching, demand forecasting, credit scoring</w:t>
            </w:r>
          </w:p>
        </w:tc>
        <w:tc>
          <w:tcPr>
            <w:tcW w:type="dxa" w:w="1814"/>
            <w:shd w:val="clear" w:color="auto" w:fill="F5F5F4"/>
          </w:tcPr>
          <w:p>
            <w:r>
              <w:rPr>
                <w:sz w:val="20"/>
              </w:rPr>
              <w:t>USD 399-799/month</w:t>
            </w:r>
          </w:p>
        </w:tc>
      </w:tr>
      <w:tr>
        <w:tc>
          <w:tcPr>
            <w:tcW w:type="dxa" w:w="1814"/>
          </w:tcPr>
          <w:p>
            <w:r>
              <w:rPr>
                <w:sz w:val="20"/>
              </w:rPr>
              <w:t>Enterprise Premium</w:t>
            </w:r>
          </w:p>
        </w:tc>
        <w:tc>
          <w:tcPr>
            <w:tcW w:type="dxa" w:w="1814"/>
          </w:tcPr>
          <w:p>
            <w:r>
              <w:rPr>
                <w:sz w:val="20"/>
              </w:rPr>
              <w:t>Large enterprises, complex ops</w:t>
            </w:r>
          </w:p>
        </w:tc>
        <w:tc>
          <w:tcPr>
            <w:tcW w:type="dxa" w:w="1814"/>
          </w:tcPr>
          <w:p>
            <w:r>
              <w:rPr>
                <w:sz w:val="20"/>
              </w:rPr>
              <w:t>All flows including Manufacturing, Projects</w:t>
            </w:r>
          </w:p>
        </w:tc>
        <w:tc>
          <w:tcPr>
            <w:tcW w:type="dxa" w:w="1814"/>
          </w:tcPr>
          <w:p>
            <w:r>
              <w:rPr>
                <w:sz w:val="20"/>
              </w:rPr>
              <w:t>Full AI layer, NL query, predictive analytics</w:t>
            </w:r>
          </w:p>
        </w:tc>
        <w:tc>
          <w:tcPr>
            <w:tcW w:type="dxa" w:w="1814"/>
          </w:tcPr>
          <w:p>
            <w:r>
              <w:rPr>
                <w:sz w:val="20"/>
              </w:rPr>
              <w:t>USD 1,500+/month</w:t>
            </w:r>
          </w:p>
        </w:tc>
      </w:tr>
      <w:tr>
        <w:tc>
          <w:tcPr>
            <w:tcW w:type="dxa" w:w="1814"/>
            <w:shd w:val="clear" w:color="auto" w:fill="F5F5F4"/>
          </w:tcPr>
          <w:p>
            <w:r>
              <w:rPr>
                <w:sz w:val="20"/>
              </w:rPr>
              <w:t>Custom</w:t>
            </w:r>
          </w:p>
        </w:tc>
        <w:tc>
          <w:tcPr>
            <w:tcW w:type="dxa" w:w="1814"/>
            <w:shd w:val="clear" w:color="auto" w:fill="F5F5F4"/>
          </w:tcPr>
          <w:p>
            <w:r>
              <w:rPr>
                <w:sz w:val="20"/>
              </w:rPr>
              <w:t>Large enterprise contracts</w:t>
            </w:r>
          </w:p>
        </w:tc>
        <w:tc>
          <w:tcPr>
            <w:tcW w:type="dxa" w:w="1814"/>
            <w:shd w:val="clear" w:color="auto" w:fill="F5F5F4"/>
          </w:tcPr>
          <w:p>
            <w:r>
              <w:rPr>
                <w:sz w:val="20"/>
              </w:rPr>
              <w:t>Tailored module selection + white-label option</w:t>
            </w:r>
          </w:p>
        </w:tc>
        <w:tc>
          <w:tcPr>
            <w:tcW w:type="dxa" w:w="1814"/>
            <w:shd w:val="clear" w:color="auto" w:fill="F5F5F4"/>
          </w:tcPr>
          <w:p>
            <w:r>
              <w:rPr>
                <w:sz w:val="20"/>
              </w:rPr>
              <w:t>Bespoke AI models per client</w:t>
            </w:r>
          </w:p>
        </w:tc>
        <w:tc>
          <w:tcPr>
            <w:tcW w:type="dxa" w:w="1814"/>
            <w:shd w:val="clear" w:color="auto" w:fill="F5F5F4"/>
          </w:tcPr>
          <w:p>
            <w:r>
              <w:rPr>
                <w:sz w:val="20"/>
              </w:rPr>
              <w:t>Negotiated contract</w:t>
            </w:r>
          </w:p>
        </w:tc>
      </w:tr>
    </w:tbl>
    <w:p/>
    <w:p>
      <w:pPr>
        <w:pStyle w:val="Heading2"/>
        <w:spacing w:before="200" w:after="80"/>
      </w:pPr>
      <w:r>
        <w:rPr>
          <w:b/>
          <w:color w:val="1A1A2E"/>
          <w:sz w:val="32"/>
        </w:rPr>
        <w:t>Value Logic — How BES Creates Economic Value</w:t>
      </w:r>
    </w:p>
    <w:p>
      <w:pPr>
        <w:pStyle w:val="ListBullet"/>
        <w:spacing w:after="40"/>
        <w:ind w:left="360"/>
      </w:pPr>
      <w:r>
        <w:rPr>
          <w:color w:val="1C1917"/>
          <w:sz w:val="22"/>
        </w:rPr>
        <w:t>Time savings: Finance teams spend 3-5 hours per week on manual invoice matching. AI-powered 3-way matching reduces this to under 30 minutes of exception review time only.</w:t>
      </w:r>
    </w:p>
    <w:p>
      <w:pPr>
        <w:pStyle w:val="ListBullet"/>
        <w:spacing w:after="40"/>
        <w:ind w:left="360"/>
      </w:pPr>
      <w:r>
        <w:rPr>
          <w:color w:val="1C1917"/>
          <w:sz w:val="22"/>
        </w:rPr>
        <w:t>Error reduction: Duplicate payments and invoice mismatches cost businesses an average of 1-2% of their procurement spend. Automated matching eliminates the majority of these errors.</w:t>
      </w:r>
    </w:p>
    <w:p>
      <w:pPr>
        <w:pStyle w:val="ListBullet"/>
        <w:spacing w:after="40"/>
        <w:ind w:left="360"/>
      </w:pPr>
      <w:r>
        <w:rPr>
          <w:color w:val="1C1917"/>
          <w:sz w:val="22"/>
        </w:rPr>
        <w:t>Decision speed: Approval bottlenecks (waiting for a manager to review a PO) can add 2-3 days to procurement cycles. Digital approval workflows cut this to hours.</w:t>
      </w:r>
    </w:p>
    <w:p>
      <w:pPr>
        <w:pStyle w:val="ListBullet"/>
        <w:spacing w:after="40"/>
        <w:ind w:left="360"/>
      </w:pPr>
      <w:r>
        <w:rPr>
          <w:color w:val="1C1917"/>
          <w:sz w:val="22"/>
        </w:rPr>
        <w:t>Working capital optimization: Accurate demand forecasting reduces overstock and stockouts. Even a 10% improvement in forecast accuracy can free significant working capital.</w:t>
      </w:r>
    </w:p>
    <w:p>
      <w:pPr>
        <w:pStyle w:val="Heading2"/>
        <w:spacing w:before="200" w:after="80"/>
      </w:pPr>
      <w:r>
        <w:rPr>
          <w:b/>
          <w:color w:val="1A1A2E"/>
          <w:sz w:val="32"/>
        </w:rPr>
        <w:t>Cost Drivers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b/>
                <w:color w:val="FFFFFF"/>
                <w:sz w:val="20"/>
              </w:rPr>
              <w:t>Cost Category</w:t>
            </w:r>
          </w:p>
        </w:tc>
        <w:tc>
          <w:tcPr>
            <w:tcW w:type="dxa" w:w="3024"/>
            <w:shd w:val="clear" w:color="auto" w:fill="1A1A2E"/>
          </w:tcPr>
          <w:p>
            <w:r>
              <w:rPr>
                <w:b/>
                <w:color w:val="FFFFFF"/>
                <w:sz w:val="20"/>
              </w:rPr>
              <w:t>Description</w:t>
            </w:r>
          </w:p>
        </w:tc>
        <w:tc>
          <w:tcPr>
            <w:tcW w:type="dxa" w:w="3024"/>
            <w:shd w:val="clear" w:color="auto" w:fill="1A1A2E"/>
          </w:tcPr>
          <w:p>
            <w:r>
              <w:rPr>
                <w:b/>
                <w:color w:val="FFFFFF"/>
                <w:sz w:val="20"/>
              </w:rPr>
              <w:t>Scale Behavior</w:t>
            </w:r>
          </w:p>
        </w:tc>
      </w:tr>
      <w:tr>
        <w:tc>
          <w:tcPr>
            <w:tcW w:type="dxa" w:w="3024"/>
          </w:tcPr>
          <w:p>
            <w:r>
              <w:rPr>
                <w:sz w:val="20"/>
              </w:rPr>
              <w:t>Infrastructure</w:t>
            </w:r>
          </w:p>
        </w:tc>
        <w:tc>
          <w:tcPr>
            <w:tcW w:type="dxa" w:w="3024"/>
          </w:tcPr>
          <w:p>
            <w:r>
              <w:rPr>
                <w:sz w:val="20"/>
              </w:rPr>
              <w:t>PostgreSQL databases per tenant, FastAPI compute, CDN</w:t>
            </w:r>
          </w:p>
        </w:tc>
        <w:tc>
          <w:tcPr>
            <w:tcW w:type="dxa" w:w="3024"/>
          </w:tcPr>
          <w:p>
            <w:r>
              <w:rPr>
                <w:sz w:val="20"/>
              </w:rPr>
              <w:t>Linear with tenant count — controlled with connection pooling</w:t>
            </w:r>
          </w:p>
        </w:tc>
      </w:tr>
      <w:tr>
        <w:tc>
          <w:tcPr>
            <w:tcW w:type="dxa" w:w="3024"/>
            <w:shd w:val="clear" w:color="auto" w:fill="F5F5F4"/>
          </w:tcPr>
          <w:p>
            <w:r>
              <w:rPr>
                <w:sz w:val="20"/>
              </w:rPr>
              <w:t>AI/ML API costs</w:t>
            </w:r>
          </w:p>
        </w:tc>
        <w:tc>
          <w:tcPr>
            <w:tcW w:type="dxa" w:w="3024"/>
            <w:shd w:val="clear" w:color="auto" w:fill="F5F5F4"/>
          </w:tcPr>
          <w:p>
            <w:r>
              <w:rPr>
                <w:sz w:val="20"/>
              </w:rPr>
              <w:t>Document extraction APIs (per document), LLM API calls (per query)</w:t>
            </w:r>
          </w:p>
        </w:tc>
        <w:tc>
          <w:tcPr>
            <w:tcW w:type="dxa" w:w="3024"/>
            <w:shd w:val="clear" w:color="auto" w:fill="F5F5F4"/>
          </w:tcPr>
          <w:p>
            <w:r>
              <w:rPr>
                <w:sz w:val="20"/>
              </w:rPr>
              <w:t>Usage-based — grows with feature adoption, offset by Pro/Premium pricing</w:t>
            </w:r>
          </w:p>
        </w:tc>
      </w:tr>
      <w:tr>
        <w:tc>
          <w:tcPr>
            <w:tcW w:type="dxa" w:w="3024"/>
          </w:tcPr>
          <w:p>
            <w:r>
              <w:rPr>
                <w:sz w:val="20"/>
              </w:rPr>
              <w:t>Storage</w:t>
            </w:r>
          </w:p>
        </w:tc>
        <w:tc>
          <w:tcPr>
            <w:tcW w:type="dxa" w:w="3024"/>
          </w:tcPr>
          <w:p>
            <w:r>
              <w:rPr>
                <w:sz w:val="20"/>
              </w:rPr>
              <w:t>Tenant document storage (attachments, PDFs, exports)</w:t>
            </w:r>
          </w:p>
        </w:tc>
        <w:tc>
          <w:tcPr>
            <w:tcW w:type="dxa" w:w="3024"/>
          </w:tcPr>
          <w:p>
            <w:r>
              <w:rPr>
                <w:sz w:val="20"/>
              </w:rPr>
              <w:t>Linear with usage — S3-class storage is economical</w:t>
            </w:r>
          </w:p>
        </w:tc>
      </w:tr>
      <w:tr>
        <w:tc>
          <w:tcPr>
            <w:tcW w:type="dxa" w:w="3024"/>
            <w:shd w:val="clear" w:color="auto" w:fill="F5F5F4"/>
          </w:tcPr>
          <w:p>
            <w:r>
              <w:rPr>
                <w:sz w:val="20"/>
              </w:rPr>
              <w:t>Support</w:t>
            </w:r>
          </w:p>
        </w:tc>
        <w:tc>
          <w:tcPr>
            <w:tcW w:type="dxa" w:w="3024"/>
            <w:shd w:val="clear" w:color="auto" w:fill="F5F5F4"/>
          </w:tcPr>
          <w:p>
            <w:r>
              <w:rPr>
                <w:sz w:val="20"/>
              </w:rPr>
              <w:t>Customer success and technical support staffing</w:t>
            </w:r>
          </w:p>
        </w:tc>
        <w:tc>
          <w:tcPr>
            <w:tcW w:type="dxa" w:w="3024"/>
            <w:shd w:val="clear" w:color="auto" w:fill="F5F5F4"/>
          </w:tcPr>
          <w:p>
            <w:r>
              <w:rPr>
                <w:sz w:val="20"/>
              </w:rPr>
              <w:t>Sub-linear if self-service onboarding is strong</w:t>
            </w:r>
          </w:p>
        </w:tc>
      </w:tr>
      <w:tr>
        <w:tc>
          <w:tcPr>
            <w:tcW w:type="dxa" w:w="3024"/>
          </w:tcPr>
          <w:p>
            <w:r>
              <w:rPr>
                <w:sz w:val="20"/>
              </w:rPr>
              <w:t>Onboarding</w:t>
            </w:r>
          </w:p>
        </w:tc>
        <w:tc>
          <w:tcPr>
            <w:tcW w:type="dxa" w:w="3024"/>
          </w:tcPr>
          <w:p>
            <w:r>
              <w:rPr>
                <w:sz w:val="20"/>
              </w:rPr>
              <w:t>Instance provisioning — automated script-based setup</w:t>
            </w:r>
          </w:p>
        </w:tc>
        <w:tc>
          <w:tcPr>
            <w:tcW w:type="dxa" w:w="3024"/>
          </w:tcPr>
          <w:p>
            <w:r>
              <w:rPr>
                <w:sz w:val="20"/>
              </w:rPr>
              <w:t>Near-zero marginal cost per new tenant</w:t>
            </w:r>
          </w:p>
        </w:tc>
      </w:tr>
    </w:tbl>
    <w:p/>
    <w:p>
      <w:pPr>
        <w:pStyle w:val="Heading2"/>
        <w:spacing w:before="200" w:after="80"/>
      </w:pPr>
      <w:r>
        <w:rPr>
          <w:b/>
          <w:color w:val="1A1A2E"/>
          <w:sz w:val="32"/>
        </w:rPr>
        <w:t>Unit Economics Logic</w:t>
      </w:r>
    </w:p>
    <w:p>
      <w:pPr>
        <w:spacing w:after="80"/>
      </w:pPr>
      <w:r>
        <w:rPr>
          <w:color w:val="1C1917"/>
          <w:sz w:val="22"/>
        </w:rPr>
        <w:t>The economics work because cost to serve grows slower than revenue per tenant:</w:t>
      </w:r>
    </w:p>
    <w:p>
      <w:pPr>
        <w:pStyle w:val="ListBullet"/>
        <w:spacing w:after="40"/>
        <w:ind w:left="360"/>
      </w:pPr>
      <w:r>
        <w:rPr>
          <w:color w:val="1C1917"/>
          <w:sz w:val="22"/>
        </w:rPr>
        <w:t>A Basic tenant costs roughly USD 15-25/month to serve. At USD 99-199/month pricing, gross margin is 75-85%.</w:t>
      </w:r>
    </w:p>
    <w:p>
      <w:pPr>
        <w:pStyle w:val="ListBullet"/>
        <w:spacing w:after="40"/>
        <w:ind w:left="360"/>
      </w:pPr>
      <w:r>
        <w:rPr>
          <w:color w:val="1C1917"/>
          <w:sz w:val="22"/>
        </w:rPr>
        <w:t>A Professional tenant using AI invoice matching generates roughly 2,000 AI API calls/month. At USD 0.01/call, that is USD 20 in AI costs against USD 399-799 in revenue — still very healthy margin.</w:t>
      </w:r>
    </w:p>
    <w:p>
      <w:pPr>
        <w:pStyle w:val="ListBullet"/>
        <w:spacing w:after="40"/>
        <w:ind w:left="360"/>
      </w:pPr>
      <w:r>
        <w:rPr>
          <w:color w:val="1C1917"/>
          <w:sz w:val="22"/>
        </w:rPr>
        <w:t>The expansion revenue path (Basic -&gt; Pro -&gt; Premium) is organic. As a business grows, they naturally need more features. This is a built-in revenue expansion engine with very low CAC.</w:t>
      </w:r>
    </w:p>
    <w:p>
      <w:pPr>
        <w:pStyle w:val="Heading2"/>
        <w:spacing w:before="200" w:after="80"/>
      </w:pPr>
      <w:r>
        <w:rPr>
          <w:b/>
          <w:color w:val="1A1A2E"/>
          <w:sz w:val="32"/>
        </w:rPr>
        <w:t>Scaling Risks and Mitigations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b/>
                <w:color w:val="FFFFFF"/>
                <w:sz w:val="20"/>
              </w:rPr>
              <w:t>Risk</w:t>
            </w:r>
          </w:p>
        </w:tc>
        <w:tc>
          <w:tcPr>
            <w:tcW w:type="dxa" w:w="3024"/>
            <w:shd w:val="clear" w:color="auto" w:fill="1A1A2E"/>
          </w:tcPr>
          <w:p>
            <w:r>
              <w:rPr>
                <w:b/>
                <w:color w:val="FFFFFF"/>
                <w:sz w:val="20"/>
              </w:rPr>
              <w:t>Description</w:t>
            </w:r>
          </w:p>
        </w:tc>
        <w:tc>
          <w:tcPr>
            <w:tcW w:type="dxa" w:w="3024"/>
            <w:shd w:val="clear" w:color="auto" w:fill="1A1A2E"/>
          </w:tcPr>
          <w:p>
            <w:r>
              <w:rPr>
                <w:b/>
                <w:color w:val="FFFFFF"/>
                <w:sz w:val="20"/>
              </w:rPr>
              <w:t>Mitigation</w:t>
            </w:r>
          </w:p>
        </w:tc>
      </w:tr>
      <w:tr>
        <w:tc>
          <w:tcPr>
            <w:tcW w:type="dxa" w:w="3024"/>
          </w:tcPr>
          <w:p>
            <w:r>
              <w:rPr>
                <w:sz w:val="20"/>
              </w:rPr>
              <w:t>Database performance at scale</w:t>
            </w:r>
          </w:p>
        </w:tc>
        <w:tc>
          <w:tcPr>
            <w:tcW w:type="dxa" w:w="3024"/>
          </w:tcPr>
          <w:p>
            <w:r>
              <w:rPr>
                <w:sz w:val="20"/>
              </w:rPr>
              <w:t>Per-tenant PostgreSQL can become expensive at 10,000+ tenants</w:t>
            </w:r>
          </w:p>
        </w:tc>
        <w:tc>
          <w:tcPr>
            <w:tcW w:type="dxa" w:w="3024"/>
          </w:tcPr>
          <w:p>
            <w:r>
              <w:rPr>
                <w:sz w:val="20"/>
              </w:rPr>
              <w:t>Connection pooling (PgBouncer), read replicas for reporting, eventual migration to shared-schema for smaller tenants</w:t>
            </w:r>
          </w:p>
        </w:tc>
      </w:tr>
      <w:tr>
        <w:tc>
          <w:tcPr>
            <w:tcW w:type="dxa" w:w="3024"/>
            <w:shd w:val="clear" w:color="auto" w:fill="F5F5F4"/>
          </w:tcPr>
          <w:p>
            <w:r>
              <w:rPr>
                <w:sz w:val="20"/>
              </w:rPr>
              <w:t>AI API cost explosion</w:t>
            </w:r>
          </w:p>
        </w:tc>
        <w:tc>
          <w:tcPr>
            <w:tcW w:type="dxa" w:w="3024"/>
            <w:shd w:val="clear" w:color="auto" w:fill="F5F5F4"/>
          </w:tcPr>
          <w:p>
            <w:r>
              <w:rPr>
                <w:sz w:val="20"/>
              </w:rPr>
              <w:t>LLM API costs scale with usage — may become uneconomical</w:t>
            </w:r>
          </w:p>
        </w:tc>
        <w:tc>
          <w:tcPr>
            <w:tcW w:type="dxa" w:w="3024"/>
            <w:shd w:val="clear" w:color="auto" w:fill="F5F5F4"/>
          </w:tcPr>
          <w:p>
            <w:r>
              <w:rPr>
                <w:sz w:val="20"/>
              </w:rPr>
              <w:t>Cache common queries, use smaller models for routine tasks, only frontier models for complex reasoning</w:t>
            </w:r>
          </w:p>
        </w:tc>
      </w:tr>
      <w:tr>
        <w:tc>
          <w:tcPr>
            <w:tcW w:type="dxa" w:w="3024"/>
          </w:tcPr>
          <w:p>
            <w:r>
              <w:rPr>
                <w:sz w:val="20"/>
              </w:rPr>
              <w:t>Workflow complexity drift</w:t>
            </w:r>
          </w:p>
        </w:tc>
        <w:tc>
          <w:tcPr>
            <w:tcW w:type="dxa" w:w="3024"/>
          </w:tcPr>
          <w:p>
            <w:r>
              <w:rPr>
                <w:sz w:val="20"/>
              </w:rPr>
              <w:t>As tenants customize pipelines, support and QA complexity grows</w:t>
            </w:r>
          </w:p>
        </w:tc>
        <w:tc>
          <w:tcPr>
            <w:tcW w:type="dxa" w:w="3024"/>
          </w:tcPr>
          <w:p>
            <w:r>
              <w:rPr>
                <w:sz w:val="20"/>
              </w:rPr>
              <w:t>Pipeline Editor with guardrails — limit custom step combinations, automated testing of tenant configurations</w:t>
            </w:r>
          </w:p>
        </w:tc>
      </w:tr>
      <w:tr>
        <w:tc>
          <w:tcPr>
            <w:tcW w:type="dxa" w:w="3024"/>
            <w:shd w:val="clear" w:color="auto" w:fill="F5F5F4"/>
          </w:tcPr>
          <w:p>
            <w:r>
              <w:rPr>
                <w:sz w:val="20"/>
              </w:rPr>
              <w:t>Data quality degradation</w:t>
            </w:r>
          </w:p>
        </w:tc>
        <w:tc>
          <w:tcPr>
            <w:tcW w:type="dxa" w:w="3024"/>
            <w:shd w:val="clear" w:color="auto" w:fill="F5F5F4"/>
          </w:tcPr>
          <w:p>
            <w:r>
              <w:rPr>
                <w:sz w:val="20"/>
              </w:rPr>
              <w:t>AI models degrade if input data quality declines</w:t>
            </w:r>
          </w:p>
        </w:tc>
        <w:tc>
          <w:tcPr>
            <w:tcW w:type="dxa" w:w="3024"/>
            <w:shd w:val="clear" w:color="auto" w:fill="F5F5F4"/>
          </w:tcPr>
          <w:p>
            <w:r>
              <w:rPr>
                <w:sz w:val="20"/>
              </w:rPr>
              <w:t>Data validation at point of entry, anomaly detection on the data itself, tenant health score monitoring</w:t>
            </w:r>
          </w:p>
        </w:tc>
      </w:tr>
      <w:tr>
        <w:tc>
          <w:tcPr>
            <w:tcW w:type="dxa" w:w="3024"/>
          </w:tcPr>
          <w:p>
            <w:r>
              <w:rPr>
                <w:sz w:val="20"/>
              </w:rPr>
              <w:t>Governance burden</w:t>
            </w:r>
          </w:p>
        </w:tc>
        <w:tc>
          <w:tcPr>
            <w:tcW w:type="dxa" w:w="3024"/>
          </w:tcPr>
          <w:p>
            <w:r>
              <w:rPr>
                <w:sz w:val="20"/>
              </w:rPr>
              <w:t>AI in financial workflows attracts regulatory scrutiny as scale increases</w:t>
            </w:r>
          </w:p>
        </w:tc>
        <w:tc>
          <w:tcPr>
            <w:tcW w:type="dxa" w:w="3024"/>
          </w:tcPr>
          <w:p>
            <w:r>
              <w:rPr>
                <w:sz w:val="20"/>
              </w:rPr>
              <w:t>Full audit trail already in place, compliance reporting feature in Premium tier roadmap</w:t>
            </w:r>
          </w:p>
        </w:tc>
      </w:tr>
    </w:tbl>
    <w:p/>
    <w:p>
      <w:r>
        <w:br w:type="page"/>
      </w:r>
    </w:p>
    <w:p>
      <w:pPr>
        <w:pStyle w:val="Heading1"/>
        <w:spacing w:before="280" w:after="80"/>
      </w:pPr>
      <w:r>
        <w:rPr>
          <w:b/>
          <w:color w:val="1A1A2E"/>
          <w:sz w:val="44"/>
        </w:rPr>
        <w:t>7. Ethics, Governance, and Risk Note</w:t>
      </w:r>
    </w:p>
    <w:p>
      <w:pPr>
        <w:pStyle w:val="Heading2"/>
        <w:spacing w:before="200" w:after="80"/>
      </w:pPr>
      <w:r>
        <w:rPr>
          <w:b/>
          <w:color w:val="1A1A2E"/>
          <w:sz w:val="32"/>
        </w:rPr>
        <w:t>Why the Stakes Are Genuinely High Here</w:t>
      </w:r>
    </w:p>
    <w:p>
      <w:pPr>
        <w:spacing w:after="80"/>
      </w:pPr>
      <w:r>
        <w:rPr>
          <w:color w:val="1C1917"/>
          <w:sz w:val="22"/>
        </w:rPr>
        <w:t>Most AI ethics discussions focus on consumer-facing products — recommendation engines, content moderation, facial recognition. But BES operates in the financial and operational layer of real businesses. A wrong AI decision here does not just annoy a user — it can cause an incorrect payment, a missed regulatory deadline, or a financial discrepancy that triggers an audit. We take this seriously, and we have designed our governance controls to match the actual risk level.</w:t>
      </w:r>
    </w:p>
    <w:p>
      <w:pPr>
        <w:pStyle w:val="Heading2"/>
        <w:spacing w:before="200" w:after="80"/>
      </w:pPr>
      <w:r>
        <w:rPr>
          <w:b/>
          <w:color w:val="1A1A2E"/>
          <w:sz w:val="32"/>
        </w:rPr>
        <w:t>Main Risks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sz w:val="20"/>
              </w:rPr>
              <w:t>Risk</w:t>
            </w:r>
          </w:p>
        </w:tc>
        <w:tc>
          <w:tcPr>
            <w:tcW w:type="dxa" w:w="2268"/>
            <w:shd w:val="clear" w:color="auto" w:fill="1A1A2E"/>
          </w:tcPr>
          <w:p>
            <w:r>
              <w:rPr>
                <w:b/>
                <w:color w:val="FFFFFF"/>
                <w:sz w:val="20"/>
              </w:rPr>
              <w:t>Likelihood</w:t>
            </w:r>
          </w:p>
        </w:tc>
        <w:tc>
          <w:tcPr>
            <w:tcW w:type="dxa" w:w="2268"/>
            <w:shd w:val="clear" w:color="auto" w:fill="1A1A2E"/>
          </w:tcPr>
          <w:p>
            <w:r>
              <w:rPr>
                <w:b/>
                <w:color w:val="FFFFFF"/>
                <w:sz w:val="20"/>
              </w:rPr>
              <w:t>Impact</w:t>
            </w:r>
          </w:p>
        </w:tc>
        <w:tc>
          <w:tcPr>
            <w:tcW w:type="dxa" w:w="2268"/>
            <w:shd w:val="clear" w:color="auto" w:fill="1A1A2E"/>
          </w:tcPr>
          <w:p>
            <w:r>
              <w:rPr>
                <w:b/>
                <w:color w:val="FFFFFF"/>
                <w:sz w:val="20"/>
              </w:rPr>
              <w:t>Category</w:t>
            </w:r>
          </w:p>
        </w:tc>
      </w:tr>
      <w:tr>
        <w:tc>
          <w:tcPr>
            <w:tcW w:type="dxa" w:w="2268"/>
          </w:tcPr>
          <w:p>
            <w:r>
              <w:rPr>
                <w:sz w:val="20"/>
              </w:rPr>
              <w:t>False auto-approval of incorrect invoice</w:t>
            </w:r>
          </w:p>
        </w:tc>
        <w:tc>
          <w:tcPr>
            <w:tcW w:type="dxa" w:w="2268"/>
          </w:tcPr>
          <w:p>
            <w:r>
              <w:rPr>
                <w:sz w:val="20"/>
              </w:rPr>
              <w:t>Low if thresholds are correctly configured</w:t>
            </w:r>
          </w:p>
        </w:tc>
        <w:tc>
          <w:tcPr>
            <w:tcW w:type="dxa" w:w="2268"/>
          </w:tcPr>
          <w:p>
            <w:r>
              <w:rPr>
                <w:sz w:val="20"/>
              </w:rPr>
              <w:t>High — direct financial loss</w:t>
            </w:r>
          </w:p>
        </w:tc>
        <w:tc>
          <w:tcPr>
            <w:tcW w:type="dxa" w:w="2268"/>
          </w:tcPr>
          <w:p>
            <w:r>
              <w:rPr>
                <w:sz w:val="20"/>
              </w:rPr>
              <w:t>Financial</w:t>
            </w:r>
          </w:p>
        </w:tc>
      </w:tr>
      <w:tr>
        <w:tc>
          <w:tcPr>
            <w:tcW w:type="dxa" w:w="2268"/>
            <w:shd w:val="clear" w:color="auto" w:fill="F5F5F4"/>
          </w:tcPr>
          <w:p>
            <w:r>
              <w:rPr>
                <w:sz w:val="20"/>
              </w:rPr>
              <w:t>Duplicate payment not caught by anomaly detection</w:t>
            </w:r>
          </w:p>
        </w:tc>
        <w:tc>
          <w:tcPr>
            <w:tcW w:type="dxa" w:w="2268"/>
            <w:shd w:val="clear" w:color="auto" w:fill="F5F5F4"/>
          </w:tcPr>
          <w:p>
            <w:r>
              <w:rPr>
                <w:sz w:val="20"/>
              </w:rPr>
              <w:t>Low</w:t>
            </w:r>
          </w:p>
        </w:tc>
        <w:tc>
          <w:tcPr>
            <w:tcW w:type="dxa" w:w="2268"/>
            <w:shd w:val="clear" w:color="auto" w:fill="F5F5F4"/>
          </w:tcPr>
          <w:p>
            <w:r>
              <w:rPr>
                <w:sz w:val="20"/>
              </w:rPr>
              <w:t>High — direct financial loss</w:t>
            </w:r>
          </w:p>
        </w:tc>
        <w:tc>
          <w:tcPr>
            <w:tcW w:type="dxa" w:w="2268"/>
            <w:shd w:val="clear" w:color="auto" w:fill="F5F5F4"/>
          </w:tcPr>
          <w:p>
            <w:r>
              <w:rPr>
                <w:sz w:val="20"/>
              </w:rPr>
              <w:t>Financial</w:t>
            </w:r>
          </w:p>
        </w:tc>
      </w:tr>
      <w:tr>
        <w:tc>
          <w:tcPr>
            <w:tcW w:type="dxa" w:w="2268"/>
          </w:tcPr>
          <w:p>
            <w:r>
              <w:rPr>
                <w:sz w:val="20"/>
              </w:rPr>
              <w:t>AI model recommendations reinforcing historical biases in credit scoring</w:t>
            </w:r>
          </w:p>
        </w:tc>
        <w:tc>
          <w:tcPr>
            <w:tcW w:type="dxa" w:w="2268"/>
          </w:tcPr>
          <w:p>
            <w:r>
              <w:rPr>
                <w:sz w:val="20"/>
              </w:rPr>
              <w:t>Medium</w:t>
            </w:r>
          </w:p>
        </w:tc>
        <w:tc>
          <w:tcPr>
            <w:tcW w:type="dxa" w:w="2268"/>
          </w:tcPr>
          <w:p>
            <w:r>
              <w:rPr>
                <w:sz w:val="20"/>
              </w:rPr>
              <w:t>High — discrimination risk</w:t>
            </w:r>
          </w:p>
        </w:tc>
        <w:tc>
          <w:tcPr>
            <w:tcW w:type="dxa" w:w="2268"/>
          </w:tcPr>
          <w:p>
            <w:r>
              <w:rPr>
                <w:sz w:val="20"/>
              </w:rPr>
              <w:t>Fairness/Legal</w:t>
            </w:r>
          </w:p>
        </w:tc>
      </w:tr>
      <w:tr>
        <w:tc>
          <w:tcPr>
            <w:tcW w:type="dxa" w:w="2268"/>
            <w:shd w:val="clear" w:color="auto" w:fill="F5F5F4"/>
          </w:tcPr>
          <w:p>
            <w:r>
              <w:rPr>
                <w:sz w:val="20"/>
              </w:rPr>
              <w:t>Vendor data fed into AI exposing confidential supplier pricing</w:t>
            </w:r>
          </w:p>
        </w:tc>
        <w:tc>
          <w:tcPr>
            <w:tcW w:type="dxa" w:w="2268"/>
            <w:shd w:val="clear" w:color="auto" w:fill="F5F5F4"/>
          </w:tcPr>
          <w:p>
            <w:r>
              <w:rPr>
                <w:sz w:val="20"/>
              </w:rPr>
              <w:t>Low</w:t>
            </w:r>
          </w:p>
        </w:tc>
        <w:tc>
          <w:tcPr>
            <w:tcW w:type="dxa" w:w="2268"/>
            <w:shd w:val="clear" w:color="auto" w:fill="F5F5F4"/>
          </w:tcPr>
          <w:p>
            <w:r>
              <w:rPr>
                <w:sz w:val="20"/>
              </w:rPr>
              <w:t>High — commercial sensitivity</w:t>
            </w:r>
          </w:p>
        </w:tc>
        <w:tc>
          <w:tcPr>
            <w:tcW w:type="dxa" w:w="2268"/>
            <w:shd w:val="clear" w:color="auto" w:fill="F5F5F4"/>
          </w:tcPr>
          <w:p>
            <w:r>
              <w:rPr>
                <w:sz w:val="20"/>
              </w:rPr>
              <w:t>Privacy</w:t>
            </w:r>
          </w:p>
        </w:tc>
      </w:tr>
      <w:tr>
        <w:tc>
          <w:tcPr>
            <w:tcW w:type="dxa" w:w="2268"/>
          </w:tcPr>
          <w:p>
            <w:r>
              <w:rPr>
                <w:sz w:val="20"/>
              </w:rPr>
              <w:t>Hallucinated data in AI-generated reports or summaries</w:t>
            </w:r>
          </w:p>
        </w:tc>
        <w:tc>
          <w:tcPr>
            <w:tcW w:type="dxa" w:w="2268"/>
          </w:tcPr>
          <w:p>
            <w:r>
              <w:rPr>
                <w:sz w:val="20"/>
              </w:rPr>
              <w:t>Medium</w:t>
            </w:r>
          </w:p>
        </w:tc>
        <w:tc>
          <w:tcPr>
            <w:tcW w:type="dxa" w:w="2268"/>
          </w:tcPr>
          <w:p>
            <w:r>
              <w:rPr>
                <w:sz w:val="20"/>
              </w:rPr>
              <w:t>Medium — trust erosion</w:t>
            </w:r>
          </w:p>
        </w:tc>
        <w:tc>
          <w:tcPr>
            <w:tcW w:type="dxa" w:w="2268"/>
          </w:tcPr>
          <w:p>
            <w:r>
              <w:rPr>
                <w:sz w:val="20"/>
              </w:rPr>
              <w:t>Accuracy</w:t>
            </w:r>
          </w:p>
        </w:tc>
      </w:tr>
      <w:tr>
        <w:tc>
          <w:tcPr>
            <w:tcW w:type="dxa" w:w="2268"/>
            <w:shd w:val="clear" w:color="auto" w:fill="F5F5F4"/>
          </w:tcPr>
          <w:p>
            <w:r>
              <w:rPr>
                <w:sz w:val="20"/>
              </w:rPr>
              <w:t>Misuse of AI routing to circumvent approval chains</w:t>
            </w:r>
          </w:p>
        </w:tc>
        <w:tc>
          <w:tcPr>
            <w:tcW w:type="dxa" w:w="2268"/>
            <w:shd w:val="clear" w:color="auto" w:fill="F5F5F4"/>
          </w:tcPr>
          <w:p>
            <w:r>
              <w:rPr>
                <w:sz w:val="20"/>
              </w:rPr>
              <w:t>Low</w:t>
            </w:r>
          </w:p>
        </w:tc>
        <w:tc>
          <w:tcPr>
            <w:tcW w:type="dxa" w:w="2268"/>
            <w:shd w:val="clear" w:color="auto" w:fill="F5F5F4"/>
          </w:tcPr>
          <w:p>
            <w:r>
              <w:rPr>
                <w:sz w:val="20"/>
              </w:rPr>
              <w:t>High — governance failure</w:t>
            </w:r>
          </w:p>
        </w:tc>
        <w:tc>
          <w:tcPr>
            <w:tcW w:type="dxa" w:w="2268"/>
            <w:shd w:val="clear" w:color="auto" w:fill="F5F5F4"/>
          </w:tcPr>
          <w:p>
            <w:r>
              <w:rPr>
                <w:sz w:val="20"/>
              </w:rPr>
              <w:t>Governance</w:t>
            </w:r>
          </w:p>
        </w:tc>
      </w:tr>
      <w:tr>
        <w:tc>
          <w:tcPr>
            <w:tcW w:type="dxa" w:w="2268"/>
          </w:tcPr>
          <w:p>
            <w:r>
              <w:rPr>
                <w:sz w:val="20"/>
              </w:rPr>
              <w:t>Model drift — AI accuracy degrades silently over time without detection</w:t>
            </w:r>
          </w:p>
        </w:tc>
        <w:tc>
          <w:tcPr>
            <w:tcW w:type="dxa" w:w="2268"/>
          </w:tcPr>
          <w:p>
            <w:r>
              <w:rPr>
                <w:sz w:val="20"/>
              </w:rPr>
              <w:t>Medium</w:t>
            </w:r>
          </w:p>
        </w:tc>
        <w:tc>
          <w:tcPr>
            <w:tcW w:type="dxa" w:w="2268"/>
          </w:tcPr>
          <w:p>
            <w:r>
              <w:rPr>
                <w:sz w:val="20"/>
              </w:rPr>
              <w:t>Medium — slow trust erosion</w:t>
            </w:r>
          </w:p>
        </w:tc>
        <w:tc>
          <w:tcPr>
            <w:tcW w:type="dxa" w:w="2268"/>
          </w:tcPr>
          <w:p>
            <w:r>
              <w:rPr>
                <w:sz w:val="20"/>
              </w:rPr>
              <w:t>Reliability</w:t>
            </w:r>
          </w:p>
        </w:tc>
      </w:tr>
    </w:tbl>
    <w:p/>
    <w:p>
      <w:pPr>
        <w:pStyle w:val="Heading2"/>
        <w:spacing w:before="200" w:after="80"/>
      </w:pPr>
      <w:r>
        <w:rPr>
          <w:b/>
          <w:color w:val="1A1A2E"/>
          <w:sz w:val="32"/>
        </w:rPr>
        <w:t>Controls We Have Built In</w:t>
      </w:r>
    </w:p>
    <w:p>
      <w:pPr>
        <w:spacing w:after="80"/>
      </w:pPr>
      <w:r>
        <w:rPr>
          <w:color w:val="1C1917"/>
          <w:sz w:val="22"/>
        </w:rPr>
        <w:t>These are not aspirational — they are already in the architecture:</w:t>
      </w:r>
    </w:p>
    <w:p>
      <w:pPr>
        <w:pStyle w:val="ListBullet"/>
        <w:spacing w:after="40"/>
        <w:ind w:left="360"/>
      </w:pPr>
      <w:r>
        <w:rPr>
          <w:color w:val="1C1917"/>
          <w:sz w:val="22"/>
        </w:rPr>
        <w:t>Confidence thresholds: All AI recommendations include a confidence score. Configurable per tenant. Below threshold triggers automatic human review routing.</w:t>
      </w:r>
    </w:p>
    <w:p>
      <w:pPr>
        <w:pStyle w:val="ListBullet"/>
        <w:spacing w:after="40"/>
        <w:ind w:left="360"/>
      </w:pPr>
      <w:r>
        <w:rPr>
          <w:color w:val="1C1917"/>
          <w:sz w:val="22"/>
        </w:rPr>
        <w:t>Full audit trail: Every AI recommendation, every human override, and every automated action is logged with timestamp, user, entity, and reasoning — enforced via EventStore.</w:t>
      </w:r>
    </w:p>
    <w:p>
      <w:pPr>
        <w:pStyle w:val="ListBullet"/>
        <w:spacing w:after="40"/>
        <w:ind w:left="360"/>
      </w:pPr>
      <w:r>
        <w:rPr>
          <w:color w:val="1C1917"/>
          <w:sz w:val="22"/>
        </w:rPr>
        <w:t>No full autonomy for financial transactions: The system never auto-posts ledger entries without human confirmation. The event bus design separates 'recommendation' from 'execution' by design.</w:t>
      </w:r>
    </w:p>
    <w:p>
      <w:pPr>
        <w:pStyle w:val="ListBullet"/>
        <w:spacing w:after="40"/>
        <w:ind w:left="360"/>
      </w:pPr>
      <w:r>
        <w:rPr>
          <w:color w:val="1C1917"/>
          <w:sz w:val="22"/>
        </w:rPr>
        <w:t>Mandatory override reason capture: When a user overrides an AI recommendation, they must provide a reason. This creates a feedback loop for model improvement and a governance trail for audits.</w:t>
      </w:r>
    </w:p>
    <w:p>
      <w:pPr>
        <w:pStyle w:val="ListBullet"/>
        <w:spacing w:after="40"/>
        <w:ind w:left="360"/>
      </w:pPr>
      <w:r>
        <w:rPr>
          <w:color w:val="1C1917"/>
          <w:sz w:val="22"/>
        </w:rPr>
        <w:t>Tier-gated AI access: AI features require Pro or Premium licensing. Basic-tier tenants get rule-based automation only — reducing the blast radius for AI errors.</w:t>
      </w:r>
    </w:p>
    <w:p>
      <w:pPr>
        <w:pStyle w:val="ListBullet"/>
        <w:spacing w:after="40"/>
        <w:ind w:left="360"/>
      </w:pPr>
      <w:r>
        <w:rPr>
          <w:color w:val="1C1917"/>
          <w:sz w:val="22"/>
        </w:rPr>
        <w:t>System context elevation for AI operations: AI background tasks use elevate_context() to bypass normal permission checks, but this is logged and auditable.</w:t>
      </w:r>
    </w:p>
    <w:p>
      <w:pPr>
        <w:pStyle w:val="ListBullet"/>
        <w:spacing w:after="40"/>
        <w:ind w:left="360"/>
      </w:pPr>
      <w:r>
        <w:rPr>
          <w:color w:val="1C1917"/>
          <w:sz w:val="22"/>
        </w:rPr>
        <w:t>Data isolation by design: Per-tenant PostgreSQL databases ensure no tenant's training data ever leaks to another tenant's model.</w:t>
      </w:r>
    </w:p>
    <w:p>
      <w:pPr>
        <w:pStyle w:val="Heading2"/>
        <w:spacing w:before="200" w:after="80"/>
      </w:pPr>
      <w:r>
        <w:rPr>
          <w:b/>
          <w:color w:val="1A1A2E"/>
          <w:sz w:val="32"/>
        </w:rPr>
        <w:t>What Would Block Launch</w:t>
      </w:r>
    </w:p>
    <w:p>
      <w:pPr>
        <w:spacing w:after="80"/>
      </w:pPr>
      <w:r>
        <w:rPr>
          <w:color w:val="1C1917"/>
          <w:sz w:val="22"/>
        </w:rPr>
        <w:t>We would pause or reject AI feature launch if:</w:t>
      </w:r>
    </w:p>
    <w:p>
      <w:pPr>
        <w:pStyle w:val="ListBullet"/>
        <w:spacing w:after="40"/>
        <w:ind w:left="360"/>
      </w:pPr>
      <w:r>
        <w:rPr>
          <w:color w:val="1C1917"/>
          <w:sz w:val="22"/>
        </w:rPr>
        <w:t>False auto-approval rate exceeds 0.5% in the pilot phase. This is a hard stop — non-negotiable.</w:t>
      </w:r>
    </w:p>
    <w:p>
      <w:pPr>
        <w:pStyle w:val="ListBullet"/>
        <w:spacing w:after="40"/>
        <w:ind w:left="360"/>
      </w:pPr>
      <w:r>
        <w:rPr>
          <w:color w:val="1C1917"/>
          <w:sz w:val="22"/>
        </w:rPr>
        <w:t>We cannot explain to a finance controller exactly why the AI flagged a specific invoice. Explainability is a launch requirement, not a nice-to-have.</w:t>
      </w:r>
    </w:p>
    <w:p>
      <w:pPr>
        <w:pStyle w:val="ListBullet"/>
        <w:spacing w:after="40"/>
        <w:ind w:left="360"/>
      </w:pPr>
      <w:r>
        <w:rPr>
          <w:color w:val="1C1917"/>
          <w:sz w:val="22"/>
        </w:rPr>
        <w:t>The credit scoring model shows statistically significant disparate impact across any protected group.</w:t>
      </w:r>
    </w:p>
    <w:p>
      <w:pPr>
        <w:pStyle w:val="ListBullet"/>
        <w:spacing w:after="40"/>
        <w:ind w:left="360"/>
      </w:pPr>
      <w:r>
        <w:rPr>
          <w:color w:val="1C1917"/>
          <w:sz w:val="22"/>
        </w:rPr>
        <w:t>We discover AI recommendations are being used to bypass the platform's built-in approval chains.</w:t>
      </w:r>
    </w:p>
    <w:p>
      <w:pPr>
        <w:pStyle w:val="ListBullet"/>
        <w:spacing w:after="40"/>
        <w:ind w:left="360"/>
      </w:pPr>
      <w:r>
        <w:rPr>
          <w:color w:val="1C1917"/>
          <w:sz w:val="22"/>
        </w:rPr>
        <w:t>Any security vulnerability is found in the AI extension module that could allow one tenant to influence another tenant's AI behavior.</w:t>
      </w:r>
    </w:p>
    <w:p>
      <w:r>
        <w:br w:type="page"/>
      </w:r>
    </w:p>
    <w:p>
      <w:pPr>
        <w:pStyle w:val="Heading1"/>
        <w:spacing w:before="280" w:after="80"/>
      </w:pPr>
      <w:r>
        <w:rPr>
          <w:b/>
          <w:color w:val="1A1A2E"/>
          <w:sz w:val="44"/>
        </w:rPr>
        <w:t>8. Functional Prototype / MVP</w:t>
      </w:r>
    </w:p>
    <w:p>
      <w:pPr>
        <w:pStyle w:val="Heading2"/>
        <w:spacing w:before="200" w:after="80"/>
      </w:pPr>
      <w:r>
        <w:rPr>
          <w:b/>
          <w:color w:val="1A1A2E"/>
          <w:sz w:val="32"/>
        </w:rPr>
        <w:t>What We Built</w:t>
      </w:r>
    </w:p>
    <w:p>
      <w:pPr>
        <w:spacing w:after="80"/>
      </w:pPr>
      <w:r>
        <w:rPr>
          <w:color w:val="1C1917"/>
          <w:sz w:val="22"/>
        </w:rPr>
        <w:t>Our prototype is a fully functional, production-architecture-quality web application. This is not a Wizard-of-Oz mockup or a no-code demo with fake data. It is a real FastAPI backend with a real React/TypeScript frontend, talking to a real PostgreSQL database, with real RBAC, real event-driven cross-module communication, and real subscription tier enforcement.</w:t>
      </w:r>
    </w:p>
    <w:p>
      <w:pPr>
        <w:pStyle w:val="Heading2"/>
        <w:spacing w:before="200" w:after="80"/>
      </w:pPr>
      <w:r>
        <w:rPr>
          <w:b/>
          <w:color w:val="1A1A2E"/>
          <w:sz w:val="32"/>
        </w:rPr>
        <w:t>Technical Stack</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b/>
                <w:color w:val="FFFFFF"/>
                <w:sz w:val="20"/>
              </w:rPr>
              <w:t>Layer</w:t>
            </w:r>
          </w:p>
        </w:tc>
        <w:tc>
          <w:tcPr>
            <w:tcW w:type="dxa" w:w="3024"/>
            <w:shd w:val="clear" w:color="auto" w:fill="1A1A2E"/>
          </w:tcPr>
          <w:p>
            <w:r>
              <w:rPr>
                <w:b/>
                <w:color w:val="FFFFFF"/>
                <w:sz w:val="20"/>
              </w:rPr>
              <w:t>Technology</w:t>
            </w:r>
          </w:p>
        </w:tc>
        <w:tc>
          <w:tcPr>
            <w:tcW w:type="dxa" w:w="3024"/>
            <w:shd w:val="clear" w:color="auto" w:fill="1A1A2E"/>
          </w:tcPr>
          <w:p>
            <w:r>
              <w:rPr>
                <w:b/>
                <w:color w:val="FFFFFF"/>
                <w:sz w:val="20"/>
              </w:rPr>
              <w:t>Version/Details</w:t>
            </w:r>
          </w:p>
        </w:tc>
      </w:tr>
      <w:tr>
        <w:tc>
          <w:tcPr>
            <w:tcW w:type="dxa" w:w="3024"/>
          </w:tcPr>
          <w:p>
            <w:r>
              <w:rPr>
                <w:sz w:val="20"/>
              </w:rPr>
              <w:t>Backend Framework</w:t>
            </w:r>
          </w:p>
        </w:tc>
        <w:tc>
          <w:tcPr>
            <w:tcW w:type="dxa" w:w="3024"/>
          </w:tcPr>
          <w:p>
            <w:r>
              <w:rPr>
                <w:sz w:val="20"/>
              </w:rPr>
              <w:t>FastAPI (Python)</w:t>
            </w:r>
          </w:p>
        </w:tc>
        <w:tc>
          <w:tcPr>
            <w:tcW w:type="dxa" w:w="3024"/>
          </w:tcPr>
          <w:p>
            <w:r>
              <w:rPr>
                <w:sz w:val="20"/>
              </w:rPr>
              <w:t>Async, type-safe, OpenAPI auto-documentation</w:t>
            </w:r>
          </w:p>
        </w:tc>
      </w:tr>
      <w:tr>
        <w:tc>
          <w:tcPr>
            <w:tcW w:type="dxa" w:w="3024"/>
            <w:shd w:val="clear" w:color="auto" w:fill="F5F5F4"/>
          </w:tcPr>
          <w:p>
            <w:r>
              <w:rPr>
                <w:sz w:val="20"/>
              </w:rPr>
              <w:t>ORM / Database Layer</w:t>
            </w:r>
          </w:p>
        </w:tc>
        <w:tc>
          <w:tcPr>
            <w:tcW w:type="dxa" w:w="3024"/>
            <w:shd w:val="clear" w:color="auto" w:fill="F5F5F4"/>
          </w:tcPr>
          <w:p>
            <w:r>
              <w:rPr>
                <w:sz w:val="20"/>
              </w:rPr>
              <w:t>SQLModel + SQLAlchemy</w:t>
            </w:r>
          </w:p>
        </w:tc>
        <w:tc>
          <w:tcPr>
            <w:tcW w:type="dxa" w:w="3024"/>
            <w:shd w:val="clear" w:color="auto" w:fill="F5F5F4"/>
          </w:tcPr>
          <w:p>
            <w:r>
              <w:rPr>
                <w:sz w:val="20"/>
              </w:rPr>
              <w:t>Async sessions, optimistic locking, soft deletes</w:t>
            </w:r>
          </w:p>
        </w:tc>
      </w:tr>
      <w:tr>
        <w:tc>
          <w:tcPr>
            <w:tcW w:type="dxa" w:w="3024"/>
          </w:tcPr>
          <w:p>
            <w:r>
              <w:rPr>
                <w:sz w:val="20"/>
              </w:rPr>
              <w:t>Database</w:t>
            </w:r>
          </w:p>
        </w:tc>
        <w:tc>
          <w:tcPr>
            <w:tcW w:type="dxa" w:w="3024"/>
          </w:tcPr>
          <w:p>
            <w:r>
              <w:rPr>
                <w:sz w:val="20"/>
              </w:rPr>
              <w:t>PostgreSQL</w:t>
            </w:r>
          </w:p>
        </w:tc>
        <w:tc>
          <w:tcPr>
            <w:tcW w:type="dxa" w:w="3024"/>
          </w:tcPr>
          <w:p>
            <w:r>
              <w:rPr>
                <w:sz w:val="20"/>
              </w:rPr>
              <w:t>Per-tenant isolation, JSONB for metadata, connection pooling ready</w:t>
            </w:r>
          </w:p>
        </w:tc>
      </w:tr>
      <w:tr>
        <w:tc>
          <w:tcPr>
            <w:tcW w:type="dxa" w:w="3024"/>
            <w:shd w:val="clear" w:color="auto" w:fill="F5F5F4"/>
          </w:tcPr>
          <w:p>
            <w:r>
              <w:rPr>
                <w:sz w:val="20"/>
              </w:rPr>
              <w:t>Package Management</w:t>
            </w:r>
          </w:p>
        </w:tc>
        <w:tc>
          <w:tcPr>
            <w:tcW w:type="dxa" w:w="3024"/>
            <w:shd w:val="clear" w:color="auto" w:fill="F5F5F4"/>
          </w:tcPr>
          <w:p>
            <w:r>
              <w:rPr>
                <w:sz w:val="20"/>
              </w:rPr>
              <w:t>PDM workspaces</w:t>
            </w:r>
          </w:p>
        </w:tc>
        <w:tc>
          <w:tcPr>
            <w:tcW w:type="dxa" w:w="3024"/>
            <w:shd w:val="clear" w:color="auto" w:fill="F5F5F4"/>
          </w:tcPr>
          <w:p>
            <w:r>
              <w:rPr>
                <w:sz w:val="20"/>
              </w:rPr>
              <w:t>Core as reusable package, each extension as separate workspace</w:t>
            </w:r>
          </w:p>
        </w:tc>
      </w:tr>
      <w:tr>
        <w:tc>
          <w:tcPr>
            <w:tcW w:type="dxa" w:w="3024"/>
          </w:tcPr>
          <w:p>
            <w:r>
              <w:rPr>
                <w:sz w:val="20"/>
              </w:rPr>
              <w:t>Frontend Framework</w:t>
            </w:r>
          </w:p>
        </w:tc>
        <w:tc>
          <w:tcPr>
            <w:tcW w:type="dxa" w:w="3024"/>
          </w:tcPr>
          <w:p>
            <w:r>
              <w:rPr>
                <w:sz w:val="20"/>
              </w:rPr>
              <w:t>React 18 + TypeScript</w:t>
            </w:r>
          </w:p>
        </w:tc>
        <w:tc>
          <w:tcPr>
            <w:tcW w:type="dxa" w:w="3024"/>
          </w:tcPr>
          <w:p>
            <w:r>
              <w:rPr>
                <w:sz w:val="20"/>
              </w:rPr>
              <w:t>Strict mode, functional components, named exports</w:t>
            </w:r>
          </w:p>
        </w:tc>
      </w:tr>
      <w:tr>
        <w:tc>
          <w:tcPr>
            <w:tcW w:type="dxa" w:w="3024"/>
            <w:shd w:val="clear" w:color="auto" w:fill="F5F5F4"/>
          </w:tcPr>
          <w:p>
            <w:r>
              <w:rPr>
                <w:sz w:val="20"/>
              </w:rPr>
              <w:t>Frontend Build System</w:t>
            </w:r>
          </w:p>
        </w:tc>
        <w:tc>
          <w:tcPr>
            <w:tcW w:type="dxa" w:w="3024"/>
            <w:shd w:val="clear" w:color="auto" w:fill="F5F5F4"/>
          </w:tcPr>
          <w:p>
            <w:r>
              <w:rPr>
                <w:sz w:val="20"/>
              </w:rPr>
              <w:t>Nx Monorepo</w:t>
            </w:r>
          </w:p>
        </w:tc>
        <w:tc>
          <w:tcPr>
            <w:tcW w:type="dxa" w:w="3024"/>
            <w:shd w:val="clear" w:color="auto" w:fill="F5F5F4"/>
          </w:tcPr>
          <w:p>
            <w:r>
              <w:rPr>
                <w:sz w:val="20"/>
              </w:rPr>
              <w:t>Shell app + module libraries + shared-ui library</w:t>
            </w:r>
          </w:p>
        </w:tc>
      </w:tr>
      <w:tr>
        <w:tc>
          <w:tcPr>
            <w:tcW w:type="dxa" w:w="3024"/>
          </w:tcPr>
          <w:p>
            <w:r>
              <w:rPr>
                <w:sz w:val="20"/>
              </w:rPr>
              <w:t>State Management</w:t>
            </w:r>
          </w:p>
        </w:tc>
        <w:tc>
          <w:tcPr>
            <w:tcW w:type="dxa" w:w="3024"/>
          </w:tcPr>
          <w:p>
            <w:r>
              <w:rPr>
                <w:sz w:val="20"/>
              </w:rPr>
              <w:t>Zustand</w:t>
            </w:r>
          </w:p>
        </w:tc>
        <w:tc>
          <w:tcPr>
            <w:tcW w:type="dxa" w:w="3024"/>
          </w:tcPr>
          <w:p>
            <w:r>
              <w:rPr>
                <w:sz w:val="20"/>
              </w:rPr>
              <w:t>Global auth/session state, per-flow state stores</w:t>
            </w:r>
          </w:p>
        </w:tc>
      </w:tr>
      <w:tr>
        <w:tc>
          <w:tcPr>
            <w:tcW w:type="dxa" w:w="3024"/>
            <w:shd w:val="clear" w:color="auto" w:fill="F5F5F4"/>
          </w:tcPr>
          <w:p>
            <w:r>
              <w:rPr>
                <w:sz w:val="20"/>
              </w:rPr>
              <w:t>Styling</w:t>
            </w:r>
          </w:p>
        </w:tc>
        <w:tc>
          <w:tcPr>
            <w:tcW w:type="dxa" w:w="3024"/>
            <w:shd w:val="clear" w:color="auto" w:fill="F5F5F4"/>
          </w:tcPr>
          <w:p>
            <w:r>
              <w:rPr>
                <w:sz w:val="20"/>
              </w:rPr>
              <w:t>CSS Modules + CSS custom properties</w:t>
            </w:r>
          </w:p>
        </w:tc>
        <w:tc>
          <w:tcPr>
            <w:tcW w:type="dxa" w:w="3024"/>
            <w:shd w:val="clear" w:color="auto" w:fill="F5F5F4"/>
          </w:tcPr>
          <w:p>
            <w:r>
              <w:rPr>
                <w:sz w:val="20"/>
              </w:rPr>
              <w:t>Warm Professional design system, no Tailwind</w:t>
            </w:r>
          </w:p>
        </w:tc>
      </w:tr>
      <w:tr>
        <w:tc>
          <w:tcPr>
            <w:tcW w:type="dxa" w:w="3024"/>
          </w:tcPr>
          <w:p>
            <w:r>
              <w:rPr>
                <w:sz w:val="20"/>
              </w:rPr>
              <w:t>Real-time</w:t>
            </w:r>
          </w:p>
        </w:tc>
        <w:tc>
          <w:tcPr>
            <w:tcW w:type="dxa" w:w="3024"/>
          </w:tcPr>
          <w:p>
            <w:r>
              <w:rPr>
                <w:sz w:val="20"/>
              </w:rPr>
              <w:t>Server-Sent Events (SSE)</w:t>
            </w:r>
          </w:p>
        </w:tc>
        <w:tc>
          <w:tcPr>
            <w:tcW w:type="dxa" w:w="3024"/>
          </w:tcPr>
          <w:p>
            <w:r>
              <w:rPr>
                <w:sz w:val="20"/>
              </w:rPr>
              <w:t>In-app notification stream</w:t>
            </w:r>
          </w:p>
        </w:tc>
      </w:tr>
      <w:tr>
        <w:tc>
          <w:tcPr>
            <w:tcW w:type="dxa" w:w="3024"/>
            <w:shd w:val="clear" w:color="auto" w:fill="F5F5F4"/>
          </w:tcPr>
          <w:p>
            <w:r>
              <w:rPr>
                <w:sz w:val="20"/>
              </w:rPr>
              <w:t>Containerization</w:t>
            </w:r>
          </w:p>
        </w:tc>
        <w:tc>
          <w:tcPr>
            <w:tcW w:type="dxa" w:w="3024"/>
            <w:shd w:val="clear" w:color="auto" w:fill="F5F5F4"/>
          </w:tcPr>
          <w:p>
            <w:r>
              <w:rPr>
                <w:sz w:val="20"/>
              </w:rPr>
              <w:t>Docker + Docker Compose</w:t>
            </w:r>
          </w:p>
        </w:tc>
        <w:tc>
          <w:tcPr>
            <w:tcW w:type="dxa" w:w="3024"/>
            <w:shd w:val="clear" w:color="auto" w:fill="F5F5F4"/>
          </w:tcPr>
          <w:p>
            <w:r>
              <w:rPr>
                <w:sz w:val="20"/>
              </w:rPr>
              <w:t>Production-ready container architecture</w:t>
            </w:r>
          </w:p>
        </w:tc>
      </w:tr>
    </w:tbl>
    <w:p/>
    <w:p>
      <w:pPr>
        <w:pStyle w:val="Heading2"/>
        <w:spacing w:before="200" w:after="80"/>
      </w:pPr>
      <w:r>
        <w:rPr>
          <w:b/>
          <w:color w:val="1A1A2E"/>
          <w:sz w:val="32"/>
        </w:rPr>
        <w:t>What the Prototype Demonstrates (End-to-End Verified)</w:t>
      </w:r>
    </w:p>
    <w:p>
      <w:pPr>
        <w:pStyle w:val="ListBullet"/>
        <w:spacing w:after="40"/>
        <w:ind w:left="360"/>
      </w:pPr>
      <w:r>
        <w:rPr>
          <w:color w:val="1C1917"/>
          <w:sz w:val="22"/>
        </w:rPr>
        <w:t>Complete Sell Flow: Quote -&gt; Confirm Order -&gt; Ship -&gt; Invoice -&gt; Collect Payment with all cross-module side effects working correctly.</w:t>
      </w:r>
    </w:p>
    <w:p>
      <w:pPr>
        <w:pStyle w:val="ListBullet"/>
        <w:spacing w:after="40"/>
        <w:ind w:left="360"/>
      </w:pPr>
      <w:r>
        <w:rPr>
          <w:color w:val="1C1917"/>
          <w:sz w:val="22"/>
        </w:rPr>
        <w:t>Event Bus: ORDER_CONFIRMED event triggers inventory reservation and warehouse task creation automatically — no manual API calls between modules.</w:t>
      </w:r>
    </w:p>
    <w:p>
      <w:pPr>
        <w:pStyle w:val="ListBullet"/>
        <w:spacing w:after="40"/>
        <w:ind w:left="360"/>
      </w:pPr>
      <w:r>
        <w:rPr>
          <w:color w:val="1C1917"/>
          <w:sz w:val="22"/>
        </w:rPr>
        <w:t>Multi-Tenancy: Per-tenant database isolation with subsidiary scoping applied automatically to every query via middleware.</w:t>
      </w:r>
    </w:p>
    <w:p>
      <w:pPr>
        <w:pStyle w:val="ListBullet"/>
        <w:spacing w:after="40"/>
        <w:ind w:left="360"/>
      </w:pPr>
      <w:r>
        <w:rPr>
          <w:color w:val="1C1917"/>
          <w:sz w:val="22"/>
        </w:rPr>
        <w:t>RBAC: Sales rep cannot access finance endpoints; warehouse staff cannot confirm orders — enforced at the route layer.</w:t>
      </w:r>
    </w:p>
    <w:p>
      <w:pPr>
        <w:pStyle w:val="ListBullet"/>
        <w:spacing w:after="40"/>
        <w:ind w:left="360"/>
      </w:pPr>
      <w:r>
        <w:rPr>
          <w:color w:val="1C1917"/>
          <w:sz w:val="22"/>
        </w:rPr>
        <w:t>Subscription Tiers: Pro features return 403 Forbidden with a clear upgrade prompt for Basic-tier tenants.</w:t>
      </w:r>
    </w:p>
    <w:p>
      <w:pPr>
        <w:pStyle w:val="ListBullet"/>
        <w:spacing w:after="40"/>
        <w:ind w:left="360"/>
      </w:pPr>
      <w:r>
        <w:rPr>
          <w:color w:val="1C1917"/>
          <w:sz w:val="22"/>
        </w:rPr>
        <w:t>Decimal Precision: All financial calculations use Python Decimal with ROUND_HALF_UP — verified to 4 decimal places, zero floating-point errors.</w:t>
      </w:r>
    </w:p>
    <w:p>
      <w:pPr>
        <w:pStyle w:val="ListBullet"/>
        <w:spacing w:after="40"/>
        <w:ind w:left="360"/>
      </w:pPr>
      <w:r>
        <w:rPr>
          <w:color w:val="1C1917"/>
          <w:sz w:val="22"/>
        </w:rPr>
        <w:t>Soft Deletes: No physical deletion anywhere — all entities use is_deleted flags, enforced at the repository layer.</w:t>
      </w:r>
    </w:p>
    <w:p>
      <w:pPr>
        <w:pStyle w:val="ListBullet"/>
        <w:spacing w:after="40"/>
        <w:ind w:left="360"/>
      </w:pPr>
      <w:r>
        <w:rPr>
          <w:color w:val="1C1917"/>
          <w:sz w:val="22"/>
        </w:rPr>
        <w:t>Audit Trail: Full EventStore logging with correlation_id propagation, status tracking (PROCESSED/PARTIAL/FAILED), handler counts.</w:t>
      </w:r>
    </w:p>
    <w:p>
      <w:pPr>
        <w:pStyle w:val="ListBullet"/>
        <w:spacing w:after="40"/>
        <w:ind w:left="360"/>
      </w:pPr>
      <w:r>
        <w:rPr>
          <w:color w:val="1C1917"/>
          <w:sz w:val="22"/>
        </w:rPr>
        <w:t>Number Sequences: Gap-free reference numbers (SO-0001, INV-0001) with SELECT FOR UPDATE concurrency safety.</w:t>
      </w:r>
    </w:p>
    <w:p>
      <w:pPr>
        <w:pStyle w:val="ListBullet"/>
        <w:spacing w:after="40"/>
        <w:ind w:left="360"/>
      </w:pPr>
      <w:r>
        <w:rPr>
          <w:color w:val="1C1917"/>
          <w:sz w:val="22"/>
        </w:rPr>
        <w:t>Real-time Notifications: SSE stream for in-app notifications, task creation on workflow handoffs, role-based task assignment.</w:t>
      </w:r>
    </w:p>
    <w:p>
      <w:pPr>
        <w:pStyle w:val="ListBullet"/>
        <w:spacing w:after="40"/>
        <w:ind w:left="360"/>
      </w:pPr>
      <w:r>
        <w:rPr>
          <w:color w:val="1C1917"/>
          <w:sz w:val="22"/>
        </w:rPr>
        <w:t>AI Extension: ai extension module built and wired into the event bus, ready for AI service integration.</w:t>
      </w:r>
    </w:p>
    <w:p>
      <w:pPr>
        <w:pStyle w:val="Heading2"/>
        <w:spacing w:before="200" w:after="80"/>
      </w:pPr>
      <w:r>
        <w:rPr>
          <w:b/>
          <w:color w:val="1A1A2E"/>
          <w:sz w:val="32"/>
        </w:rPr>
        <w:t>AI Role in the Current Prototype</w:t>
      </w:r>
    </w:p>
    <w:p>
      <w:pPr>
        <w:spacing w:after="80"/>
      </w:pPr>
      <w:r>
        <w:rPr>
          <w:color w:val="1C1917"/>
          <w:sz w:val="22"/>
        </w:rPr>
        <w:t>The AI extension module (bes-backend/extensions/ai/) is built and wired into the event bus. It currently provides:</w:t>
      </w:r>
    </w:p>
    <w:p>
      <w:pPr>
        <w:pStyle w:val="ListBullet"/>
        <w:spacing w:after="40"/>
        <w:ind w:left="360"/>
      </w:pPr>
      <w:r>
        <w:rPr>
          <w:color w:val="1C1917"/>
          <w:sz w:val="22"/>
        </w:rPr>
        <w:t>Invoice anomaly signal collection: Subscribes to invoice events and aggregates comparison data against PO/GRN records.</w:t>
      </w:r>
    </w:p>
    <w:p>
      <w:pPr>
        <w:pStyle w:val="ListBullet"/>
        <w:spacing w:after="40"/>
        <w:ind w:left="360"/>
      </w:pPr>
      <w:r>
        <w:rPr>
          <w:color w:val="1C1917"/>
          <w:sz w:val="22"/>
        </w:rPr>
        <w:t>Workflow routing signals: Analyzes flow step completion patterns to build routing recommendation signals.</w:t>
      </w:r>
    </w:p>
    <w:p>
      <w:pPr>
        <w:pStyle w:val="ListBullet"/>
        <w:spacing w:after="40"/>
        <w:ind w:left="360"/>
      </w:pPr>
      <w:r>
        <w:rPr>
          <w:color w:val="1C1917"/>
          <w:sz w:val="22"/>
        </w:rPr>
        <w:t>Demand signals: Aggregates order confirmation events to build a running demand signal for each product, ready to feed into a forecasting model.</w:t>
      </w:r>
    </w:p>
    <w:p>
      <w:pPr>
        <w:pStyle w:val="Heading2"/>
        <w:spacing w:before="200" w:after="80"/>
      </w:pPr>
      <w:r>
        <w:rPr>
          <w:b/>
          <w:color w:val="1A1A2E"/>
          <w:sz w:val="32"/>
        </w:rPr>
        <w:t>What the Prototype Does NOT Yet Prove</w:t>
      </w:r>
    </w:p>
    <w:p>
      <w:pPr>
        <w:spacing w:after="80"/>
      </w:pPr>
      <w:r>
        <w:rPr>
          <w:color w:val="1C1917"/>
          <w:sz w:val="22"/>
        </w:rPr>
        <w:t>Being honest about current limitations:</w:t>
      </w:r>
    </w:p>
    <w:p>
      <w:pPr>
        <w:pStyle w:val="ListBullet"/>
        <w:spacing w:after="40"/>
        <w:ind w:left="360"/>
      </w:pPr>
      <w:r>
        <w:rPr>
          <w:color w:val="1C1917"/>
          <w:sz w:val="22"/>
        </w:rPr>
        <w:t>Production-scale performance: Not load-tested beyond single-digit concurrent users. Connection pooling and database optimization for 1,000+ tenants is on the Phase 2 roadmap.</w:t>
      </w:r>
    </w:p>
    <w:p>
      <w:pPr>
        <w:pStyle w:val="ListBullet"/>
        <w:spacing w:after="40"/>
        <w:ind w:left="360"/>
      </w:pPr>
      <w:r>
        <w:rPr>
          <w:color w:val="1C1917"/>
          <w:sz w:val="22"/>
        </w:rPr>
        <w:t>ML model accuracy: The AI module collects signals but the actual ML models have not been trained on real tenant data. This requires a pilot cohort.</w:t>
      </w:r>
    </w:p>
    <w:p>
      <w:pPr>
        <w:pStyle w:val="ListBullet"/>
        <w:spacing w:after="40"/>
        <w:ind w:left="360"/>
      </w:pPr>
      <w:r>
        <w:rPr>
          <w:color w:val="1C1917"/>
          <w:sz w:val="22"/>
        </w:rPr>
        <w:t>Full UI completeness: The frontend prototype covers the Sell flow and Settings; Buy, Stock, and Money flow UIs are partially scaffolded.</w:t>
      </w:r>
    </w:p>
    <w:p>
      <w:pPr>
        <w:pStyle w:val="ListBullet"/>
        <w:spacing w:after="40"/>
        <w:ind w:left="360"/>
      </w:pPr>
      <w:r>
        <w:rPr>
          <w:color w:val="1C1917"/>
          <w:sz w:val="22"/>
        </w:rPr>
        <w:t>Email delivery: Email notification channel is architecturally wired but requires SMTP configuration in production.</w:t>
      </w:r>
    </w:p>
    <w:p>
      <w:pPr>
        <w:pStyle w:val="Heading2"/>
        <w:spacing w:before="200" w:after="80"/>
      </w:pPr>
      <w:r>
        <w:rPr>
          <w:b/>
          <w:color w:val="1A1A2E"/>
          <w:sz w:val="32"/>
        </w:rPr>
        <w:t>Repository and Links</w:t>
      </w:r>
    </w:p>
    <w:p>
      <w:pPr>
        <w:spacing w:after="80"/>
      </w:pPr>
      <w:r>
        <w:rPr>
          <w:color w:val="1C1917"/>
          <w:sz w:val="22"/>
        </w:rPr>
        <w:t>Backend Repository (FastAPI + Core Kernel + Extensions):</w:t>
      </w:r>
    </w:p>
    <w:p>
      <w:pPr>
        <w:spacing w:after="80"/>
      </w:pPr>
      <w:r>
        <w:rPr>
          <w:color w:val="1C1917"/>
          <w:sz w:val="22"/>
        </w:rPr>
        <w:t xml:space="preserve">  https://github.com/bvk9497/ERP-backend</w:t>
      </w:r>
    </w:p>
    <w:p>
      <w:pPr>
        <w:spacing w:after="80"/>
      </w:pPr>
      <w:r>
        <w:rPr>
          <w:color w:val="1C1917"/>
          <w:sz w:val="22"/>
        </w:rPr>
        <w:t>Frontend Repository (React + TypeScript + Nx Monorepo):</w:t>
      </w:r>
    </w:p>
    <w:p>
      <w:pPr>
        <w:spacing w:after="80"/>
      </w:pPr>
      <w:r>
        <w:rPr>
          <w:color w:val="1C1917"/>
          <w:sz w:val="22"/>
        </w:rPr>
        <w:t xml:space="preserve">  https://github.com/bvk9497/ERP-frontend</w:t>
      </w:r>
    </w:p>
    <w:p>
      <w:pPr>
        <w:spacing w:after="80"/>
      </w:pPr>
      <w:r>
        <w:rPr>
          <w:color w:val="1C1917"/>
          <w:sz w:val="22"/>
        </w:rPr>
      </w:r>
    </w:p>
    <w:p>
      <w:pPr>
        <w:pStyle w:val="ListBullet"/>
        <w:spacing w:after="40"/>
        <w:ind w:left="360"/>
      </w:pPr>
      <w:r>
        <w:rPr>
          <w:color w:val="1C1917"/>
          <w:sz w:val="22"/>
        </w:rPr>
        <w:t>Backend entry point: bes-backend/instances/ (per-tenant FastAPI applications)</w:t>
      </w:r>
    </w:p>
    <w:p>
      <w:pPr>
        <w:pStyle w:val="ListBullet"/>
        <w:spacing w:after="40"/>
        <w:ind w:left="360"/>
      </w:pPr>
      <w:r>
        <w:rPr>
          <w:color w:val="1C1917"/>
          <w:sz w:val="22"/>
        </w:rPr>
        <w:t>Frontend entry point: bes-frontend/apps/shell/ (Nx monorepo shell application)</w:t>
      </w:r>
    </w:p>
    <w:p>
      <w:pPr>
        <w:pStyle w:val="ListBullet"/>
        <w:spacing w:after="40"/>
        <w:ind w:left="360"/>
      </w:pPr>
      <w:r>
        <w:rPr>
          <w:color w:val="1C1917"/>
          <w:sz w:val="22"/>
        </w:rPr>
        <w:t>Core engine: bes-backend/core/core/ (reusable kernel package)</w:t>
      </w:r>
    </w:p>
    <w:p>
      <w:pPr>
        <w:pStyle w:val="ListBullet"/>
        <w:spacing w:after="40"/>
        <w:ind w:left="360"/>
      </w:pPr>
      <w:r>
        <w:rPr>
          <w:color w:val="1C1917"/>
          <w:sz w:val="22"/>
        </w:rPr>
        <w:t>Extensions: bes-backend/extensions/ (sales, finance, inventory, supply_chain, settings, ai)</w:t>
      </w:r>
    </w:p>
    <w:p>
      <w:pPr>
        <w:pStyle w:val="ListBullet"/>
        <w:spacing w:after="40"/>
        <w:ind w:left="360"/>
      </w:pPr>
      <w:r>
        <w:rPr>
          <w:color w:val="1C1917"/>
          <w:sz w:val="22"/>
        </w:rPr>
        <w:t>Feature plans: features-plan/flows/ (sell, buy, stock, money flows fully documented)</w:t>
      </w:r>
    </w:p>
    <w:p>
      <w:pPr>
        <w:pStyle w:val="ListBullet"/>
        <w:spacing w:after="40"/>
        <w:ind w:left="360"/>
      </w:pPr>
      <w:r>
        <w:rPr>
          <w:color w:val="1C1917"/>
          <w:sz w:val="22"/>
        </w:rPr>
        <w:t>Architecture reference: ARCHITECTURE.md (master blueprint)</w:t>
      </w:r>
    </w:p>
    <w:p>
      <w:r>
        <w:br w:type="page"/>
      </w:r>
    </w:p>
    <w:p>
      <w:pPr>
        <w:pStyle w:val="Heading1"/>
        <w:spacing w:before="280" w:after="80"/>
      </w:pPr>
      <w:r>
        <w:rPr>
          <w:b/>
          <w:color w:val="1A1A2E"/>
          <w:sz w:val="44"/>
        </w:rPr>
        <w:t>9. AI Collaboration Log</w:t>
      </w:r>
    </w:p>
    <w:p>
      <w:pPr>
        <w:pStyle w:val="Heading2"/>
        <w:spacing w:before="200" w:after="80"/>
      </w:pPr>
      <w:r>
        <w:rPr>
          <w:b/>
          <w:color w:val="1A1A2E"/>
          <w:sz w:val="32"/>
        </w:rPr>
        <w:t>Tools Used</w:t>
      </w:r>
    </w:p>
    <w:p>
      <w:pPr>
        <w:pStyle w:val="ListBullet"/>
        <w:spacing w:after="40"/>
        <w:ind w:left="360"/>
      </w:pPr>
      <w:r>
        <w:rPr>
          <w:color w:val="1C1917"/>
          <w:sz w:val="22"/>
        </w:rPr>
        <w:t>Antigravity (Google DeepMind AI coding assistant): Primary tool for architecture design, code generation, and documentation. Used as a pair programmer throughout the build.</w:t>
      </w:r>
    </w:p>
    <w:p>
      <w:pPr>
        <w:pStyle w:val="ListBullet"/>
        <w:spacing w:after="40"/>
        <w:ind w:left="360"/>
      </w:pPr>
      <w:r>
        <w:rPr>
          <w:color w:val="1C1917"/>
          <w:sz w:val="22"/>
        </w:rPr>
        <w:t>Claude Sonnet 4.6 (Anthropic): Used for reasoning through complex architectural trade-offs and reviewing business logic edge cases.</w:t>
      </w:r>
    </w:p>
    <w:p>
      <w:pPr>
        <w:pStyle w:val="ListBullet"/>
        <w:spacing w:after="40"/>
        <w:ind w:left="360"/>
      </w:pPr>
      <w:r>
        <w:rPr>
          <w:color w:val="1C1917"/>
          <w:sz w:val="22"/>
        </w:rPr>
        <w:t>ChatGPT: Used for initial market research framing, JTBD brainstorming, and competitive landscape research.</w:t>
      </w:r>
    </w:p>
    <w:p>
      <w:pPr>
        <w:pStyle w:val="ListBullet"/>
        <w:spacing w:after="40"/>
        <w:ind w:left="360"/>
      </w:pPr>
      <w:r>
        <w:rPr>
          <w:color w:val="1C1917"/>
          <w:sz w:val="22"/>
        </w:rPr>
        <w:t>Cursor (AI IDE): Used for code completion and refactoring during active development sessions.</w:t>
      </w:r>
    </w:p>
    <w:p>
      <w:pPr>
        <w:pStyle w:val="Heading2"/>
        <w:spacing w:before="200" w:after="80"/>
      </w:pPr>
      <w:r>
        <w:rPr>
          <w:b/>
          <w:color w:val="1A1A2E"/>
          <w:sz w:val="32"/>
        </w:rPr>
        <w:t>Where AI Helped — and How</w:t>
      </w:r>
    </w:p>
    <w:p>
      <w:pPr>
        <w:pStyle w:val="ListBullet"/>
        <w:spacing w:after="40"/>
        <w:ind w:left="360"/>
      </w:pPr>
      <w:r>
        <w:rPr>
          <w:color w:val="1C1917"/>
          <w:sz w:val="22"/>
        </w:rPr>
        <w:t>Architecture Design: We used AI to reason through the Core-as-a-Package vs. monolith trade-offs, the event bus design, and the multi-tenancy isolation model. AI helped us think through second-order consequences of design decisions faster than we could alone.</w:t>
      </w:r>
    </w:p>
    <w:p>
      <w:pPr>
        <w:pStyle w:val="ListBullet"/>
        <w:spacing w:after="40"/>
        <w:ind w:left="360"/>
      </w:pPr>
      <w:r>
        <w:rPr>
          <w:color w:val="1C1917"/>
          <w:sz w:val="22"/>
        </w:rPr>
        <w:t>Code Generation: The boilerplate for RBAC, middleware, repository patterns, and Pydantic schemas was generated with AI assistance. This saved roughly 40-60 hours of typing — though we reviewed and adapted every generated file.</w:t>
      </w:r>
    </w:p>
    <w:p>
      <w:pPr>
        <w:pStyle w:val="ListBullet"/>
        <w:spacing w:after="40"/>
        <w:ind w:left="360"/>
      </w:pPr>
      <w:r>
        <w:rPr>
          <w:color w:val="1C1917"/>
          <w:sz w:val="22"/>
        </w:rPr>
        <w:t>Feature Planning: AI helped us generate first-pass JTBD statements and opportunity matrix entries, which we then refined based on our domain knowledge of ERP workflows.</w:t>
      </w:r>
    </w:p>
    <w:p>
      <w:pPr>
        <w:pStyle w:val="ListBullet"/>
        <w:spacing w:after="40"/>
        <w:ind w:left="360"/>
      </w:pPr>
      <w:r>
        <w:rPr>
          <w:color w:val="1C1917"/>
          <w:sz w:val="22"/>
        </w:rPr>
        <w:t>Risk Identification: We used AI to brainstorm failure scenarios and governance risks, then filtered and prioritized based on our judgment about which were realistic vs. theoretical.</w:t>
      </w:r>
    </w:p>
    <w:p>
      <w:pPr>
        <w:pStyle w:val="ListBullet"/>
        <w:spacing w:after="40"/>
        <w:ind w:left="360"/>
      </w:pPr>
      <w:r>
        <w:rPr>
          <w:color w:val="1C1917"/>
          <w:sz w:val="22"/>
        </w:rPr>
        <w:t>Documentation Structure: This submission document was scaffolded with AI assistance. Every analysis and judgment call is ours.</w:t>
      </w:r>
    </w:p>
    <w:p>
      <w:pPr>
        <w:pStyle w:val="Heading2"/>
        <w:spacing w:before="200" w:after="80"/>
      </w:pPr>
      <w:r>
        <w:rPr>
          <w:b/>
          <w:color w:val="1A1A2E"/>
          <w:sz w:val="32"/>
        </w:rPr>
        <w:t>Where AI Was Weak or Wrong</w:t>
      </w:r>
    </w:p>
    <w:p>
      <w:pPr>
        <w:pStyle w:val="ListBullet"/>
        <w:spacing w:after="40"/>
        <w:ind w:left="360"/>
      </w:pPr>
      <w:r>
        <w:rPr>
          <w:color w:val="1C1917"/>
          <w:sz w:val="22"/>
        </w:rPr>
        <w:t>Generic personas: Early AI-generated user personas were too generic ('business user who wants efficiency'). We replaced them with specific role-based JTBD statements grounded in actual ERP workflow pain points.</w:t>
      </w:r>
    </w:p>
    <w:p>
      <w:pPr>
        <w:pStyle w:val="ListBullet"/>
        <w:spacing w:after="40"/>
        <w:ind w:left="360"/>
      </w:pPr>
      <w:r>
        <w:rPr>
          <w:color w:val="1C1917"/>
          <w:sz w:val="22"/>
        </w:rPr>
        <w:t>Overconfident automation claims: AI kept suggesting 'fully automated invoice processing.' We corrected this to 'AI-assisted review with human confirmation' because we understood the financial liability implications.</w:t>
      </w:r>
    </w:p>
    <w:p>
      <w:pPr>
        <w:pStyle w:val="ListBullet"/>
        <w:spacing w:after="40"/>
        <w:ind w:left="360"/>
      </w:pPr>
      <w:r>
        <w:rPr>
          <w:color w:val="1C1917"/>
          <w:sz w:val="22"/>
        </w:rPr>
        <w:t>Weak governance framing: Initial AI-generated risk sections were boilerplate ('ensure data privacy and security'). We replaced them with specific scenarios tied to our exact technical architecture.</w:t>
      </w:r>
    </w:p>
    <w:p>
      <w:pPr>
        <w:pStyle w:val="ListBullet"/>
        <w:spacing w:after="40"/>
        <w:ind w:left="360"/>
      </w:pPr>
      <w:r>
        <w:rPr>
          <w:color w:val="1C1917"/>
          <w:sz w:val="22"/>
        </w:rPr>
        <w:t>Unrealistic ML accuracy targets: AI suggested 99% invoice matching accuracy. We corrected this to 92% precision / 88% recall based on realistic benchmarks from similar document intelligence problems.</w:t>
      </w:r>
    </w:p>
    <w:p>
      <w:pPr>
        <w:pStyle w:val="ListBullet"/>
        <w:spacing w:after="40"/>
        <w:ind w:left="360"/>
      </w:pPr>
      <w:r>
        <w:rPr>
          <w:color w:val="1C1917"/>
          <w:sz w:val="22"/>
        </w:rPr>
        <w:t>Missing cold-start problem: AI initially ignored the cold-start challenge for new tenants without historical data. We identified this gap and designed the rule-based heuristics fallback specifically to address it.</w:t>
      </w:r>
    </w:p>
    <w:p>
      <w:pPr>
        <w:pStyle w:val="Heading2"/>
        <w:spacing w:before="200" w:after="80"/>
      </w:pPr>
      <w:r>
        <w:rPr>
          <w:b/>
          <w:color w:val="1A1A2E"/>
          <w:sz w:val="32"/>
        </w:rPr>
        <w:t>Where Human Judgment Was Essential</w:t>
      </w:r>
    </w:p>
    <w:p>
      <w:pPr>
        <w:pStyle w:val="ListBullet"/>
        <w:spacing w:after="40"/>
        <w:ind w:left="360"/>
      </w:pPr>
      <w:r>
        <w:rPr>
          <w:color w:val="1C1917"/>
          <w:sz w:val="22"/>
        </w:rPr>
        <w:t>The fundamental product architecture choice — why flow-centric instead of module-centric — required human understanding of how real business users think and work, not just what sounds architecturally elegant.</w:t>
      </w:r>
    </w:p>
    <w:p>
      <w:pPr>
        <w:pStyle w:val="ListBullet"/>
        <w:spacing w:after="40"/>
        <w:ind w:left="360"/>
      </w:pPr>
      <w:r>
        <w:rPr>
          <w:color w:val="1C1917"/>
          <w:sz w:val="22"/>
        </w:rPr>
        <w:t>The decision to use per-tenant PostgreSQL databases (vs. shared schema with RLS) required weighing compliance, data isolation, and operational complexity tradeoffs that depend on our specific market context.</w:t>
      </w:r>
    </w:p>
    <w:p>
      <w:pPr>
        <w:pStyle w:val="ListBullet"/>
        <w:spacing w:after="40"/>
        <w:ind w:left="360"/>
      </w:pPr>
      <w:r>
        <w:rPr>
          <w:color w:val="1C1917"/>
          <w:sz w:val="22"/>
        </w:rPr>
        <w:t>The subscription tier design — what goes in Basic vs. Pro vs. Premium — required market knowledge about SME budgets and competitive positioning that AI could not reliably provide.</w:t>
      </w:r>
    </w:p>
    <w:p>
      <w:pPr>
        <w:pStyle w:val="ListBullet"/>
        <w:spacing w:after="40"/>
        <w:ind w:left="360"/>
      </w:pPr>
      <w:r>
        <w:rPr>
          <w:color w:val="1C1917"/>
          <w:sz w:val="22"/>
        </w:rPr>
        <w:t>The governance and launch threshold decisions (e.g. 'false auto-approval rate &lt; 0.5% is a hard stop') required human judgment about acceptable risk levels in financial software — AI cannot make this call.</w:t>
      </w:r>
    </w:p>
    <w:p>
      <w:pPr>
        <w:pStyle w:val="Heading2"/>
        <w:spacing w:before="200" w:after="80"/>
      </w:pPr>
      <w:r>
        <w:rPr>
          <w:b/>
          <w:color w:val="1A1A2E"/>
          <w:sz w:val="32"/>
        </w:rPr>
        <w:t>Final Reflection</w:t>
      </w:r>
    </w:p>
    <w:p>
      <w:pPr>
        <w:spacing w:after="80"/>
      </w:pPr>
      <w:r>
        <w:rPr>
          <w:color w:val="1C1917"/>
          <w:sz w:val="22"/>
        </w:rPr>
        <w:t>Where AI accelerated our PM work:</w:t>
      </w:r>
    </w:p>
    <w:p>
      <w:pPr>
        <w:pStyle w:val="ListBullet"/>
        <w:spacing w:after="40"/>
        <w:ind w:left="360"/>
      </w:pPr>
      <w:r>
        <w:rPr>
          <w:color w:val="1C1917"/>
          <w:sz w:val="22"/>
        </w:rPr>
        <w:t>AI reduced time from blank page to structured first draft of every planning document by roughly 60-70%.</w:t>
      </w:r>
    </w:p>
    <w:p>
      <w:pPr>
        <w:pStyle w:val="ListBullet"/>
        <w:spacing w:after="40"/>
        <w:ind w:left="360"/>
      </w:pPr>
      <w:r>
        <w:rPr>
          <w:color w:val="1C1917"/>
          <w:sz w:val="22"/>
        </w:rPr>
        <w:t>AI helped identify blind spots by suggesting edge cases we had not considered.</w:t>
      </w:r>
    </w:p>
    <w:p>
      <w:pPr>
        <w:pStyle w:val="ListBullet"/>
        <w:spacing w:after="40"/>
        <w:ind w:left="360"/>
      </w:pPr>
      <w:r>
        <w:rPr>
          <w:color w:val="1C1917"/>
          <w:sz w:val="22"/>
        </w:rPr>
        <w:t>AI enabled rapid iteration — we could explore 3-4 architectural alternatives in the time it used to take to think through 1.</w:t>
      </w:r>
    </w:p>
    <w:p>
      <w:pPr>
        <w:spacing w:after="80"/>
      </w:pPr>
      <w:r>
        <w:rPr>
          <w:color w:val="1C1917"/>
          <w:sz w:val="22"/>
        </w:rPr>
        <w:t>Where AI could not replace PM reasoning:</w:t>
      </w:r>
    </w:p>
    <w:p>
      <w:pPr>
        <w:pStyle w:val="ListBullet"/>
        <w:spacing w:after="40"/>
        <w:ind w:left="360"/>
      </w:pPr>
      <w:r>
        <w:rPr>
          <w:color w:val="1C1917"/>
          <w:sz w:val="22"/>
        </w:rPr>
        <w:t>Understanding whether a business problem is genuinely worth solving — that requires lived experience with the target user's context.</w:t>
      </w:r>
    </w:p>
    <w:p>
      <w:pPr>
        <w:pStyle w:val="ListBullet"/>
        <w:spacing w:after="40"/>
        <w:ind w:left="360"/>
      </w:pPr>
      <w:r>
        <w:rPr>
          <w:color w:val="1C1917"/>
          <w:sz w:val="22"/>
        </w:rPr>
        <w:t>Making the final call on what to build first, what to defer, and what to deliberately leave out — prioritization is judgment, not prediction.</w:t>
      </w:r>
    </w:p>
    <w:p>
      <w:pPr>
        <w:pStyle w:val="ListBullet"/>
        <w:spacing w:after="40"/>
        <w:ind w:left="360"/>
      </w:pPr>
      <w:r>
        <w:rPr>
          <w:color w:val="1C1917"/>
          <w:sz w:val="22"/>
        </w:rPr>
        <w:t>Knowing when a technically elegant solution is the wrong product choice — AI tends to optimize for what is intellectually interesting rather than what will actually sell.</w:t>
      </w:r>
    </w:p>
    <w:p>
      <w:pPr>
        <w:pStyle w:val="ListBullet"/>
        <w:spacing w:after="40"/>
        <w:ind w:left="360"/>
      </w:pPr>
      <w:r>
        <w:rPr>
          <w:color w:val="1C1917"/>
          <w:sz w:val="22"/>
        </w:rPr>
        <w:t>Reading between the lines of user feedback to understand what users are really struggling with — empathy cannot be automated.</w:t>
      </w:r>
    </w:p>
    <w:p>
      <w:r>
        <w:br w:type="page"/>
      </w:r>
    </w:p>
    <w:p>
      <w:pPr>
        <w:pStyle w:val="Heading1"/>
        <w:spacing w:before="280" w:after="80"/>
      </w:pPr>
      <w:r>
        <w:rPr>
          <w:b/>
          <w:color w:val="1A1A2E"/>
          <w:sz w:val="44"/>
        </w:rPr>
        <w:t>10. Individual Contribution Disclosure</w:t>
      </w:r>
    </w:p>
    <w:p>
      <w:pPr>
        <w:spacing w:after="80"/>
      </w:pPr>
      <w:r>
        <w:rPr>
          <w:color w:val="1C1917"/>
          <w:sz w:val="22"/>
        </w:rPr>
        <w:t>This section documents how the team divided responsibilities across the project. All major decisions, trade-offs, and recommendations were validated collectively by the full team regardless of who led each artifact.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1A2E"/>
          </w:tcPr>
          <w:p>
            <w:r>
              <w:rPr>
                <w:b/>
                <w:color w:val="FFFFFF"/>
                <w:sz w:val="20"/>
              </w:rPr>
              <w:t>Role</w:t>
            </w:r>
          </w:p>
        </w:tc>
        <w:tc>
          <w:tcPr>
            <w:tcW w:type="dxa" w:w="2268"/>
            <w:shd w:val="clear" w:color="auto" w:fill="1A1A2E"/>
          </w:tcPr>
          <w:p>
            <w:r>
              <w:rPr>
                <w:b/>
                <w:color w:val="FFFFFF"/>
                <w:sz w:val="20"/>
              </w:rPr>
              <w:t>Lead Responsibility</w:t>
            </w:r>
          </w:p>
        </w:tc>
        <w:tc>
          <w:tcPr>
            <w:tcW w:type="dxa" w:w="2268"/>
            <w:shd w:val="clear" w:color="auto" w:fill="1A1A2E"/>
          </w:tcPr>
          <w:p>
            <w:r>
              <w:rPr>
                <w:b/>
                <w:color w:val="FFFFFF"/>
                <w:sz w:val="20"/>
              </w:rPr>
              <w:t>Artifacts Owned</w:t>
            </w:r>
          </w:p>
        </w:tc>
        <w:tc>
          <w:tcPr>
            <w:tcW w:type="dxa" w:w="2268"/>
            <w:shd w:val="clear" w:color="auto" w:fill="1A1A2E"/>
          </w:tcPr>
          <w:p>
            <w:r>
              <w:rPr>
                <w:b/>
                <w:color w:val="FFFFFF"/>
                <w:sz w:val="20"/>
              </w:rPr>
              <w:t>AI Tool Usage</w:t>
            </w:r>
          </w:p>
        </w:tc>
      </w:tr>
      <w:tr>
        <w:tc>
          <w:tcPr>
            <w:tcW w:type="dxa" w:w="2268"/>
          </w:tcPr>
          <w:p>
            <w:r>
              <w:rPr>
                <w:sz w:val="20"/>
              </w:rPr>
              <w:t>Product Strategy Lead</w:t>
            </w:r>
          </w:p>
        </w:tc>
        <w:tc>
          <w:tcPr>
            <w:tcW w:type="dxa" w:w="2268"/>
          </w:tcPr>
          <w:p>
            <w:r>
              <w:rPr>
                <w:sz w:val="20"/>
              </w:rPr>
              <w:t>Opportunity framing, product vision, JTBD analysis</w:t>
            </w:r>
          </w:p>
        </w:tc>
        <w:tc>
          <w:tcPr>
            <w:tcW w:type="dxa" w:w="2268"/>
          </w:tcPr>
          <w:p>
            <w:r>
              <w:rPr>
                <w:sz w:val="20"/>
              </w:rPr>
              <w:t>Executive Summary, Product Strategy section</w:t>
            </w:r>
          </w:p>
        </w:tc>
        <w:tc>
          <w:tcPr>
            <w:tcW w:type="dxa" w:w="2268"/>
          </w:tcPr>
          <w:p>
            <w:r>
              <w:rPr>
                <w:sz w:val="20"/>
              </w:rPr>
              <w:t>AI for JTBD brainstorming; human refinement of all framing and vision</w:t>
            </w:r>
          </w:p>
        </w:tc>
      </w:tr>
      <w:tr>
        <w:tc>
          <w:tcPr>
            <w:tcW w:type="dxa" w:w="2268"/>
            <w:shd w:val="clear" w:color="auto" w:fill="F5F5F4"/>
          </w:tcPr>
          <w:p>
            <w:r>
              <w:rPr>
                <w:sz w:val="20"/>
              </w:rPr>
              <w:t>PM Artifacts Lead</w:t>
            </w:r>
          </w:p>
        </w:tc>
        <w:tc>
          <w:tcPr>
            <w:tcW w:type="dxa" w:w="2268"/>
            <w:shd w:val="clear" w:color="auto" w:fill="F5F5F4"/>
          </w:tcPr>
          <w:p>
            <w:r>
              <w:rPr>
                <w:sz w:val="20"/>
              </w:rPr>
              <w:t>PRD, prioritization, roadmap, metrics framework</w:t>
            </w:r>
          </w:p>
        </w:tc>
        <w:tc>
          <w:tcPr>
            <w:tcW w:type="dxa" w:w="2268"/>
            <w:shd w:val="clear" w:color="auto" w:fill="F5F5F4"/>
          </w:tcPr>
          <w:p>
            <w:r>
              <w:rPr>
                <w:sz w:val="20"/>
              </w:rPr>
              <w:t>PM Artifact Pack, all tables and metrics</w:t>
            </w:r>
          </w:p>
        </w:tc>
        <w:tc>
          <w:tcPr>
            <w:tcW w:type="dxa" w:w="2268"/>
            <w:shd w:val="clear" w:color="auto" w:fill="F5F5F4"/>
          </w:tcPr>
          <w:p>
            <w:r>
              <w:rPr>
                <w:sz w:val="20"/>
              </w:rPr>
              <w:t>AI for first-draft structure; human-authored all analysis and thresholds</w:t>
            </w:r>
          </w:p>
        </w:tc>
      </w:tr>
      <w:tr>
        <w:tc>
          <w:tcPr>
            <w:tcW w:type="dxa" w:w="2268"/>
          </w:tcPr>
          <w:p>
            <w:r>
              <w:rPr>
                <w:sz w:val="20"/>
              </w:rPr>
              <w:t>UX and Workflow Lead</w:t>
            </w:r>
          </w:p>
        </w:tc>
        <w:tc>
          <w:tcPr>
            <w:tcW w:type="dxa" w:w="2268"/>
          </w:tcPr>
          <w:p>
            <w:r>
              <w:rPr>
                <w:sz w:val="20"/>
              </w:rPr>
              <w:t>User journey design, trust UX, handoff design</w:t>
            </w:r>
          </w:p>
        </w:tc>
        <w:tc>
          <w:tcPr>
            <w:tcW w:type="dxa" w:w="2268"/>
          </w:tcPr>
          <w:p>
            <w:r>
              <w:rPr>
                <w:sz w:val="20"/>
              </w:rPr>
              <w:t>UX section, workflow diagrams</w:t>
            </w:r>
          </w:p>
        </w:tc>
        <w:tc>
          <w:tcPr>
            <w:tcW w:type="dxa" w:w="2268"/>
          </w:tcPr>
          <w:p>
            <w:r>
              <w:rPr>
                <w:sz w:val="20"/>
              </w:rPr>
              <w:t>AI for initial wireframe concepts; all trust design decisions are human</w:t>
            </w:r>
          </w:p>
        </w:tc>
      </w:tr>
      <w:tr>
        <w:tc>
          <w:tcPr>
            <w:tcW w:type="dxa" w:w="2268"/>
            <w:shd w:val="clear" w:color="auto" w:fill="F5F5F4"/>
          </w:tcPr>
          <w:p>
            <w:r>
              <w:rPr>
                <w:sz w:val="20"/>
              </w:rPr>
              <w:t>Data and Evaluation Lead</w:t>
            </w:r>
          </w:p>
        </w:tc>
        <w:tc>
          <w:tcPr>
            <w:tcW w:type="dxa" w:w="2268"/>
            <w:shd w:val="clear" w:color="auto" w:fill="F5F5F4"/>
          </w:tcPr>
          <w:p>
            <w:r>
              <w:rPr>
                <w:sz w:val="20"/>
              </w:rPr>
              <w:t>AI task decomposition, metric framework, thresholds</w:t>
            </w:r>
          </w:p>
        </w:tc>
        <w:tc>
          <w:tcPr>
            <w:tcW w:type="dxa" w:w="2268"/>
            <w:shd w:val="clear" w:color="auto" w:fill="F5F5F4"/>
          </w:tcPr>
          <w:p>
            <w:r>
              <w:rPr>
                <w:sz w:val="20"/>
              </w:rPr>
              <w:t>Data/Model/Evaluation section</w:t>
            </w:r>
          </w:p>
        </w:tc>
        <w:tc>
          <w:tcPr>
            <w:tcW w:type="dxa" w:w="2268"/>
            <w:shd w:val="clear" w:color="auto" w:fill="F5F5F4"/>
          </w:tcPr>
          <w:p>
            <w:r>
              <w:rPr>
                <w:sz w:val="20"/>
              </w:rPr>
              <w:t>AI for baseline research; human set all launch thresholds</w:t>
            </w:r>
          </w:p>
        </w:tc>
      </w:tr>
      <w:tr>
        <w:tc>
          <w:tcPr>
            <w:tcW w:type="dxa" w:w="2268"/>
          </w:tcPr>
          <w:p>
            <w:r>
              <w:rPr>
                <w:sz w:val="20"/>
              </w:rPr>
              <w:t>Prototype and Build Lead</w:t>
            </w:r>
          </w:p>
        </w:tc>
        <w:tc>
          <w:tcPr>
            <w:tcW w:type="dxa" w:w="2268"/>
          </w:tcPr>
          <w:p>
            <w:r>
              <w:rPr>
                <w:sz w:val="20"/>
              </w:rPr>
              <w:t>System architecture, backend, frontend code</w:t>
            </w:r>
          </w:p>
        </w:tc>
        <w:tc>
          <w:tcPr>
            <w:tcW w:type="dxa" w:w="2268"/>
          </w:tcPr>
          <w:p>
            <w:r>
              <w:rPr>
                <w:sz w:val="20"/>
              </w:rPr>
              <w:t>Architecture documentation, codebase, working prototype</w:t>
            </w:r>
          </w:p>
        </w:tc>
        <w:tc>
          <w:tcPr>
            <w:tcW w:type="dxa" w:w="2268"/>
          </w:tcPr>
          <w:p>
            <w:r>
              <w:rPr>
                <w:sz w:val="20"/>
              </w:rPr>
              <w:t>AI coding assistant for boilerplate; all design decisions are human</w:t>
            </w:r>
          </w:p>
        </w:tc>
      </w:tr>
      <w:tr>
        <w:tc>
          <w:tcPr>
            <w:tcW w:type="dxa" w:w="2268"/>
            <w:shd w:val="clear" w:color="auto" w:fill="F5F5F4"/>
          </w:tcPr>
          <w:p>
            <w:r>
              <w:rPr>
                <w:sz w:val="20"/>
              </w:rPr>
              <w:t>Business and Risk Lead</w:t>
            </w:r>
          </w:p>
        </w:tc>
        <w:tc>
          <w:tcPr>
            <w:tcW w:type="dxa" w:w="2268"/>
            <w:shd w:val="clear" w:color="auto" w:fill="F5F5F4"/>
          </w:tcPr>
          <w:p>
            <w:r>
              <w:rPr>
                <w:sz w:val="20"/>
              </w:rPr>
              <w:t>Economics, scaling analysis, ethics, governance</w:t>
            </w:r>
          </w:p>
        </w:tc>
        <w:tc>
          <w:tcPr>
            <w:tcW w:type="dxa" w:w="2268"/>
            <w:shd w:val="clear" w:color="auto" w:fill="F5F5F4"/>
          </w:tcPr>
          <w:p>
            <w:r>
              <w:rPr>
                <w:sz w:val="20"/>
              </w:rPr>
              <w:t>Business/Economics and Risk sections</w:t>
            </w:r>
          </w:p>
        </w:tc>
        <w:tc>
          <w:tcPr>
            <w:tcW w:type="dxa" w:w="2268"/>
            <w:shd w:val="clear" w:color="auto" w:fill="F5F5F4"/>
          </w:tcPr>
          <w:p>
            <w:r>
              <w:rPr>
                <w:sz w:val="20"/>
              </w:rPr>
              <w:t>AI for risk brainstorming; human authored all controls and launch blockers</w:t>
            </w:r>
          </w:p>
        </w:tc>
      </w:tr>
    </w:tbl>
    <w:p/>
    <w:p>
      <w:r>
        <w:br w:type="page"/>
      </w:r>
    </w:p>
    <w:p>
      <w:pPr>
        <w:pStyle w:val="Heading1"/>
        <w:spacing w:before="280" w:after="80"/>
      </w:pPr>
      <w:r>
        <w:rPr>
          <w:b/>
          <w:color w:val="1A1A2E"/>
          <w:sz w:val="44"/>
        </w:rPr>
        <w:t>Appendix A: Technical Architecture Deep Dive</w:t>
      </w:r>
    </w:p>
    <w:p>
      <w:pPr>
        <w:pStyle w:val="Heading2"/>
        <w:spacing w:before="200" w:after="80"/>
      </w:pPr>
      <w:r>
        <w:rPr>
          <w:b/>
          <w:color w:val="1A1A2E"/>
          <w:sz w:val="32"/>
        </w:rPr>
        <w:t>Core Kernel Components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b/>
                <w:color w:val="FFFFFF"/>
                <w:sz w:val="20"/>
              </w:rPr>
              <w:t>Component</w:t>
            </w:r>
          </w:p>
        </w:tc>
        <w:tc>
          <w:tcPr>
            <w:tcW w:type="dxa" w:w="3024"/>
            <w:shd w:val="clear" w:color="auto" w:fill="1A1A2E"/>
          </w:tcPr>
          <w:p>
            <w:r>
              <w:rPr>
                <w:b/>
                <w:color w:val="FFFFFF"/>
                <w:sz w:val="20"/>
              </w:rPr>
              <w:t>Technology</w:t>
            </w:r>
          </w:p>
        </w:tc>
        <w:tc>
          <w:tcPr>
            <w:tcW w:type="dxa" w:w="3024"/>
            <w:shd w:val="clear" w:color="auto" w:fill="1A1A2E"/>
          </w:tcPr>
          <w:p>
            <w:r>
              <w:rPr>
                <w:b/>
                <w:color w:val="FFFFFF"/>
                <w:sz w:val="20"/>
              </w:rPr>
              <w:t>Responsibility</w:t>
            </w:r>
          </w:p>
        </w:tc>
      </w:tr>
      <w:tr>
        <w:tc>
          <w:tcPr>
            <w:tcW w:type="dxa" w:w="3024"/>
          </w:tcPr>
          <w:p>
            <w:r>
              <w:rPr>
                <w:sz w:val="20"/>
              </w:rPr>
              <w:t>BESBase Model</w:t>
            </w:r>
          </w:p>
        </w:tc>
        <w:tc>
          <w:tcPr>
            <w:tcW w:type="dxa" w:w="3024"/>
          </w:tcPr>
          <w:p>
            <w:r>
              <w:rPr>
                <w:sz w:val="20"/>
              </w:rPr>
              <w:t>SQLModel + SQLAlchemy</w:t>
            </w:r>
          </w:p>
        </w:tc>
        <w:tc>
          <w:tcPr>
            <w:tcW w:type="dxa" w:w="3024"/>
          </w:tcPr>
          <w:p>
            <w:r>
              <w:rPr>
                <w:sz w:val="20"/>
              </w:rPr>
              <w:t>UUID PKs, audit fields, soft-delete flag, subsidiary scoping, optimistic locking (version_id), metadata_ JSONB</w:t>
            </w:r>
          </w:p>
        </w:tc>
      </w:tr>
      <w:tr>
        <w:tc>
          <w:tcPr>
            <w:tcW w:type="dxa" w:w="3024"/>
            <w:shd w:val="clear" w:color="auto" w:fill="F5F5F4"/>
          </w:tcPr>
          <w:p>
            <w:r>
              <w:rPr>
                <w:sz w:val="20"/>
              </w:rPr>
              <w:t>Auth System</w:t>
            </w:r>
          </w:p>
        </w:tc>
        <w:tc>
          <w:tcPr>
            <w:tcW w:type="dxa" w:w="3024"/>
            <w:shd w:val="clear" w:color="auto" w:fill="F5F5F4"/>
          </w:tcPr>
          <w:p>
            <w:r>
              <w:rPr>
                <w:sz w:val="20"/>
              </w:rPr>
              <w:t>FastAPI + JWT + bcrypt</w:t>
            </w:r>
          </w:p>
        </w:tc>
        <w:tc>
          <w:tcPr>
            <w:tcW w:type="dxa" w:w="3024"/>
            <w:shd w:val="clear" w:color="auto" w:fill="F5F5F4"/>
          </w:tcPr>
          <w:p>
            <w:r>
              <w:rPr>
                <w:sz w:val="20"/>
              </w:rPr>
              <w:t>JWT access tokens (short-lived) + refresh tokens, bcrypt password hashing</w:t>
            </w:r>
          </w:p>
        </w:tc>
      </w:tr>
      <w:tr>
        <w:tc>
          <w:tcPr>
            <w:tcW w:type="dxa" w:w="3024"/>
          </w:tcPr>
          <w:p>
            <w:r>
              <w:rPr>
                <w:sz w:val="20"/>
              </w:rPr>
              <w:t>RBAC</w:t>
            </w:r>
          </w:p>
        </w:tc>
        <w:tc>
          <w:tcPr>
            <w:tcW w:type="dxa" w:w="3024"/>
          </w:tcPr>
          <w:p>
            <w:r>
              <w:rPr>
                <w:sz w:val="20"/>
              </w:rPr>
              <w:t>Custom permission matrix</w:t>
            </w:r>
          </w:p>
        </w:tc>
        <w:tc>
          <w:tcPr>
            <w:tcW w:type="dxa" w:w="3024"/>
          </w:tcPr>
          <w:p>
            <w:r>
              <w:rPr>
                <w:sz w:val="20"/>
              </w:rPr>
              <w:t>Permission format: module:resource:action. require_permission() decorator. System context elevation for automated tasks</w:t>
            </w:r>
          </w:p>
        </w:tc>
      </w:tr>
      <w:tr>
        <w:tc>
          <w:tcPr>
            <w:tcW w:type="dxa" w:w="3024"/>
            <w:shd w:val="clear" w:color="auto" w:fill="F5F5F4"/>
          </w:tcPr>
          <w:p>
            <w:r>
              <w:rPr>
                <w:sz w:val="20"/>
              </w:rPr>
              <w:t>Event Bus</w:t>
            </w:r>
          </w:p>
        </w:tc>
        <w:tc>
          <w:tcPr>
            <w:tcW w:type="dxa" w:w="3024"/>
            <w:shd w:val="clear" w:color="auto" w:fill="F5F5F4"/>
          </w:tcPr>
          <w:p>
            <w:r>
              <w:rPr>
                <w:sz w:val="20"/>
              </w:rPr>
              <w:t>Python asyncio InMemoryEventBus</w:t>
            </w:r>
          </w:p>
        </w:tc>
        <w:tc>
          <w:tcPr>
            <w:tcW w:type="dxa" w:w="3024"/>
            <w:shd w:val="clear" w:color="auto" w:fill="F5F5F4"/>
          </w:tcPr>
          <w:p>
            <w:r>
              <w:rPr>
                <w:sz w:val="20"/>
              </w:rPr>
              <w:t>Async pub/sub with BaseEventPayload envelope. Handlers run concurrently. Fault-tolerant. EventStore persistence</w:t>
            </w:r>
          </w:p>
        </w:tc>
      </w:tr>
      <w:tr>
        <w:tc>
          <w:tcPr>
            <w:tcW w:type="dxa" w:w="3024"/>
          </w:tcPr>
          <w:p>
            <w:r>
              <w:rPr>
                <w:sz w:val="20"/>
              </w:rPr>
              <w:t>BaseRepository</w:t>
            </w:r>
          </w:p>
        </w:tc>
        <w:tc>
          <w:tcPr>
            <w:tcW w:type="dxa" w:w="3024"/>
          </w:tcPr>
          <w:p>
            <w:r>
              <w:rPr>
                <w:sz w:val="20"/>
              </w:rPr>
              <w:t>SQLAlchemy AsyncSession</w:t>
            </w:r>
          </w:p>
        </w:tc>
        <w:tc>
          <w:tcPr>
            <w:tcW w:type="dxa" w:w="3024"/>
          </w:tcPr>
          <w:p>
            <w:r>
              <w:rPr>
                <w:sz w:val="20"/>
              </w:rPr>
              <w:t>Generic CRUD with automatic is_deleted filtering, subsidiary scoping, optimistic/pessimistic locking</w:t>
            </w:r>
          </w:p>
        </w:tc>
      </w:tr>
      <w:tr>
        <w:tc>
          <w:tcPr>
            <w:tcW w:type="dxa" w:w="3024"/>
            <w:shd w:val="clear" w:color="auto" w:fill="F5F5F4"/>
          </w:tcPr>
          <w:p>
            <w:r>
              <w:rPr>
                <w:sz w:val="20"/>
              </w:rPr>
              <w:t>StandardResponse</w:t>
            </w:r>
          </w:p>
        </w:tc>
        <w:tc>
          <w:tcPr>
            <w:tcW w:type="dxa" w:w="3024"/>
            <w:shd w:val="clear" w:color="auto" w:fill="F5F5F4"/>
          </w:tcPr>
          <w:p>
            <w:r>
              <w:rPr>
                <w:sz w:val="20"/>
              </w:rPr>
              <w:t>Pydantic envelope</w:t>
            </w:r>
          </w:p>
        </w:tc>
        <w:tc>
          <w:tcPr>
            <w:tcW w:type="dxa" w:w="3024"/>
            <w:shd w:val="clear" w:color="auto" w:fill="F5F5F4"/>
          </w:tcPr>
          <w:p>
            <w:r>
              <w:rPr>
                <w:sz w:val="20"/>
              </w:rPr>
              <w:t>All responses wrapped in {status, data, metadata, error}. Global exception handlers enforce this for ALL endpoints</w:t>
            </w:r>
          </w:p>
        </w:tc>
      </w:tr>
      <w:tr>
        <w:tc>
          <w:tcPr>
            <w:tcW w:type="dxa" w:w="3024"/>
          </w:tcPr>
          <w:p>
            <w:r>
              <w:rPr>
                <w:sz w:val="20"/>
              </w:rPr>
              <w:t>Licensing</w:t>
            </w:r>
          </w:p>
        </w:tc>
        <w:tc>
          <w:tcPr>
            <w:tcW w:type="dxa" w:w="3024"/>
          </w:tcPr>
          <w:p>
            <w:r>
              <w:rPr>
                <w:sz w:val="20"/>
              </w:rPr>
              <w:t>packages.json + LicensingContext</w:t>
            </w:r>
          </w:p>
        </w:tc>
        <w:tc>
          <w:tcPr>
            <w:tcW w:type="dxa" w:w="3024"/>
          </w:tcPr>
          <w:p>
            <w:r>
              <w:rPr>
                <w:sz w:val="20"/>
              </w:rPr>
              <w:t>Tiered feature gating with require_licensed_feature(). elevate_context() for system bypass. Two namespaces: modules (API) and flows (UX)</w:t>
            </w:r>
          </w:p>
        </w:tc>
      </w:tr>
      <w:tr>
        <w:tc>
          <w:tcPr>
            <w:tcW w:type="dxa" w:w="3024"/>
            <w:shd w:val="clear" w:color="auto" w:fill="F5F5F4"/>
          </w:tcPr>
          <w:p>
            <w:r>
              <w:rPr>
                <w:sz w:val="20"/>
              </w:rPr>
              <w:t>Number Sequences</w:t>
            </w:r>
          </w:p>
        </w:tc>
        <w:tc>
          <w:tcPr>
            <w:tcW w:type="dxa" w:w="3024"/>
            <w:shd w:val="clear" w:color="auto" w:fill="F5F5F4"/>
          </w:tcPr>
          <w:p>
            <w:r>
              <w:rPr>
                <w:sz w:val="20"/>
              </w:rPr>
              <w:t>SequenceService + FOR UPDATE</w:t>
            </w:r>
          </w:p>
        </w:tc>
        <w:tc>
          <w:tcPr>
            <w:tcW w:type="dxa" w:w="3024"/>
            <w:shd w:val="clear" w:color="auto" w:fill="F5F5F4"/>
          </w:tcPr>
          <w:p>
            <w:r>
              <w:rPr>
                <w:sz w:val="20"/>
              </w:rPr>
              <w:t>Gap-free, concurrent-safe document numbers (SO-0001, INV-0001). Configurable prefix/pattern per entity type</w:t>
            </w:r>
          </w:p>
        </w:tc>
      </w:tr>
      <w:tr>
        <w:tc>
          <w:tcPr>
            <w:tcW w:type="dxa" w:w="3024"/>
          </w:tcPr>
          <w:p>
            <w:r>
              <w:rPr>
                <w:sz w:val="20"/>
              </w:rPr>
              <w:t>Notification System</w:t>
            </w:r>
          </w:p>
        </w:tc>
        <w:tc>
          <w:tcPr>
            <w:tcW w:type="dxa" w:w="3024"/>
          </w:tcPr>
          <w:p>
            <w:r>
              <w:rPr>
                <w:sz w:val="20"/>
              </w:rPr>
              <w:t>SSE + NotificationBroadcaster</w:t>
            </w:r>
          </w:p>
        </w:tc>
        <w:tc>
          <w:tcPr>
            <w:tcW w:type="dxa" w:w="3024"/>
          </w:tcPr>
          <w:p>
            <w:r>
              <w:rPr>
                <w:sz w:val="20"/>
              </w:rPr>
              <w:t>Real-time in-app notifications. Rule-based dispatch from event payloads. IN_APP and EMAIL channels</w:t>
            </w:r>
          </w:p>
        </w:tc>
      </w:tr>
      <w:tr>
        <w:tc>
          <w:tcPr>
            <w:tcW w:type="dxa" w:w="3024"/>
            <w:shd w:val="clear" w:color="auto" w:fill="F5F5F4"/>
          </w:tcPr>
          <w:p>
            <w:r>
              <w:rPr>
                <w:sz w:val="20"/>
              </w:rPr>
              <w:t>Flow Engine</w:t>
            </w:r>
          </w:p>
        </w:tc>
        <w:tc>
          <w:tcPr>
            <w:tcW w:type="dxa" w:w="3024"/>
            <w:shd w:val="clear" w:color="auto" w:fill="F5F5F4"/>
          </w:tcPr>
          <w:p>
            <w:r>
              <w:rPr>
                <w:sz w:val="20"/>
              </w:rPr>
              <w:t>flow_definitions JSON + overrides DB</w:t>
            </w:r>
          </w:p>
        </w:tc>
        <w:tc>
          <w:tcPr>
            <w:tcW w:type="dxa" w:w="3024"/>
            <w:shd w:val="clear" w:color="auto" w:fill="F5F5F4"/>
          </w:tcPr>
          <w:p>
            <w:r>
              <w:rPr>
                <w:sz w:val="20"/>
              </w:rPr>
              <w:t>Loads default pipeline from JSON, merges tenant overrides from flow_pipeline_overrides table at runtime</w:t>
            </w:r>
          </w:p>
        </w:tc>
      </w:tr>
    </w:tbl>
    <w:p/>
    <w:p>
      <w:pPr>
        <w:pStyle w:val="Heading2"/>
        <w:spacing w:before="200" w:after="80"/>
      </w:pPr>
      <w:r>
        <w:rPr>
          <w:b/>
          <w:color w:val="1A1A2E"/>
          <w:sz w:val="32"/>
        </w:rPr>
        <w:t>Key Architectural Decisions and Rationale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b/>
                <w:color w:val="FFFFFF"/>
                <w:sz w:val="20"/>
              </w:rPr>
              <w:t>Decision</w:t>
            </w:r>
          </w:p>
        </w:tc>
        <w:tc>
          <w:tcPr>
            <w:tcW w:type="dxa" w:w="3024"/>
            <w:shd w:val="clear" w:color="auto" w:fill="1A1A2E"/>
          </w:tcPr>
          <w:p>
            <w:r>
              <w:rPr>
                <w:b/>
                <w:color w:val="FFFFFF"/>
                <w:sz w:val="20"/>
              </w:rPr>
              <w:t>Alternative Considered</w:t>
            </w:r>
          </w:p>
        </w:tc>
        <w:tc>
          <w:tcPr>
            <w:tcW w:type="dxa" w:w="3024"/>
            <w:shd w:val="clear" w:color="auto" w:fill="1A1A2E"/>
          </w:tcPr>
          <w:p>
            <w:r>
              <w:rPr>
                <w:b/>
                <w:color w:val="FFFFFF"/>
                <w:sz w:val="20"/>
              </w:rPr>
              <w:t>Why We Chose This</w:t>
            </w:r>
          </w:p>
        </w:tc>
      </w:tr>
      <w:tr>
        <w:tc>
          <w:tcPr>
            <w:tcW w:type="dxa" w:w="3024"/>
          </w:tcPr>
          <w:p>
            <w:r>
              <w:rPr>
                <w:sz w:val="20"/>
              </w:rPr>
              <w:t>Per-tenant PostgreSQL database</w:t>
            </w:r>
          </w:p>
        </w:tc>
        <w:tc>
          <w:tcPr>
            <w:tcW w:type="dxa" w:w="3024"/>
          </w:tcPr>
          <w:p>
            <w:r>
              <w:rPr>
                <w:sz w:val="20"/>
              </w:rPr>
              <w:t>Shared schema + row-level security (RLS)</w:t>
            </w:r>
          </w:p>
        </w:tc>
        <w:tc>
          <w:tcPr>
            <w:tcW w:type="dxa" w:w="3024"/>
          </w:tcPr>
          <w:p>
            <w:r>
              <w:rPr>
                <w:sz w:val="20"/>
              </w:rPr>
              <w:t>Stronger data isolation, simpler query patterns, easier compliance auditing, simpler per-tenant backup/restore</w:t>
            </w:r>
          </w:p>
        </w:tc>
      </w:tr>
      <w:tr>
        <w:tc>
          <w:tcPr>
            <w:tcW w:type="dxa" w:w="3024"/>
            <w:shd w:val="clear" w:color="auto" w:fill="F5F5F4"/>
          </w:tcPr>
          <w:p>
            <w:r>
              <w:rPr>
                <w:sz w:val="20"/>
              </w:rPr>
              <w:t>Python Decimal for all money</w:t>
            </w:r>
          </w:p>
        </w:tc>
        <w:tc>
          <w:tcPr>
            <w:tcW w:type="dxa" w:w="3024"/>
            <w:shd w:val="clear" w:color="auto" w:fill="F5F5F4"/>
          </w:tcPr>
          <w:p>
            <w:r>
              <w:rPr>
                <w:sz w:val="20"/>
              </w:rPr>
              <w:t>float</w:t>
            </w:r>
          </w:p>
        </w:tc>
        <w:tc>
          <w:tcPr>
            <w:tcW w:type="dxa" w:w="3024"/>
            <w:shd w:val="clear" w:color="auto" w:fill="F5F5F4"/>
          </w:tcPr>
          <w:p>
            <w:r>
              <w:rPr>
                <w:sz w:val="20"/>
              </w:rPr>
              <w:t>Floating-point arithmetic is categorically wrong for financial calculations. Decimal ensures exact representation and ROUND_HALF_UP accounting behavior</w:t>
            </w:r>
          </w:p>
        </w:tc>
      </w:tr>
      <w:tr>
        <w:tc>
          <w:tcPr>
            <w:tcW w:type="dxa" w:w="3024"/>
          </w:tcPr>
          <w:p>
            <w:r>
              <w:rPr>
                <w:sz w:val="20"/>
              </w:rPr>
              <w:t>Event Bus for cross-module communication</w:t>
            </w:r>
          </w:p>
        </w:tc>
        <w:tc>
          <w:tcPr>
            <w:tcW w:type="dxa" w:w="3024"/>
          </w:tcPr>
          <w:p>
            <w:r>
              <w:rPr>
                <w:sz w:val="20"/>
              </w:rPr>
              <w:t>Direct function calls between extensions</w:t>
            </w:r>
          </w:p>
        </w:tc>
        <w:tc>
          <w:tcPr>
            <w:tcW w:type="dxa" w:w="3024"/>
          </w:tcPr>
          <w:p>
            <w:r>
              <w:rPr>
                <w:sz w:val="20"/>
              </w:rPr>
              <w:t>Prevents circular imports, allows extensions to be deployed independently, enables graceful degradation if a subscriber module is unlicensed</w:t>
            </w:r>
          </w:p>
        </w:tc>
      </w:tr>
      <w:tr>
        <w:tc>
          <w:tcPr>
            <w:tcW w:type="dxa" w:w="3024"/>
            <w:shd w:val="clear" w:color="auto" w:fill="F5F5F4"/>
          </w:tcPr>
          <w:p>
            <w:r>
              <w:rPr>
                <w:sz w:val="20"/>
              </w:rPr>
              <w:t>Flow-centric navigation</w:t>
            </w:r>
          </w:p>
        </w:tc>
        <w:tc>
          <w:tcPr>
            <w:tcW w:type="dxa" w:w="3024"/>
            <w:shd w:val="clear" w:color="auto" w:fill="F5F5F4"/>
          </w:tcPr>
          <w:p>
            <w:r>
              <w:rPr>
                <w:sz w:val="20"/>
              </w:rPr>
              <w:t>Module-centric navigation (Sales, Finance, HR)</w:t>
            </w:r>
          </w:p>
        </w:tc>
        <w:tc>
          <w:tcPr>
            <w:tcW w:type="dxa" w:w="3024"/>
            <w:shd w:val="clear" w:color="auto" w:fill="F5F5F4"/>
          </w:tcPr>
          <w:p>
            <w:r>
              <w:rPr>
                <w:sz w:val="20"/>
              </w:rPr>
              <w:t>Users think in terms of what they are doing (Sell), not what system module they need. Reduces cognitive load and navigation clicks</w:t>
            </w:r>
          </w:p>
        </w:tc>
      </w:tr>
      <w:tr>
        <w:tc>
          <w:tcPr>
            <w:tcW w:type="dxa" w:w="3024"/>
          </w:tcPr>
          <w:p>
            <w:r>
              <w:rPr>
                <w:sz w:val="20"/>
              </w:rPr>
              <w:t>Soft deletes everywhere</w:t>
            </w:r>
          </w:p>
        </w:tc>
        <w:tc>
          <w:tcPr>
            <w:tcW w:type="dxa" w:w="3024"/>
          </w:tcPr>
          <w:p>
            <w:r>
              <w:rPr>
                <w:sz w:val="20"/>
              </w:rPr>
              <w:t>Physical deletion</w:t>
            </w:r>
          </w:p>
        </w:tc>
        <w:tc>
          <w:tcPr>
            <w:tcW w:type="dxa" w:w="3024"/>
          </w:tcPr>
          <w:p>
            <w:r>
              <w:rPr>
                <w:sz w:val="20"/>
              </w:rPr>
              <w:t>Financial records must be retained for audit trails. Physical deletion creates unrepairable gaps in accounting records</w:t>
            </w:r>
          </w:p>
        </w:tc>
      </w:tr>
      <w:tr>
        <w:tc>
          <w:tcPr>
            <w:tcW w:type="dxa" w:w="3024"/>
            <w:shd w:val="clear" w:color="auto" w:fill="F5F5F4"/>
          </w:tcPr>
          <w:p>
            <w:r>
              <w:rPr>
                <w:sz w:val="20"/>
              </w:rPr>
              <w:t>Core as a reusable package</w:t>
            </w:r>
          </w:p>
        </w:tc>
        <w:tc>
          <w:tcPr>
            <w:tcW w:type="dxa" w:w="3024"/>
            <w:shd w:val="clear" w:color="auto" w:fill="F5F5F4"/>
          </w:tcPr>
          <w:p>
            <w:r>
              <w:rPr>
                <w:sz w:val="20"/>
              </w:rPr>
              <w:t>Framework or monolith</w:t>
            </w:r>
          </w:p>
        </w:tc>
        <w:tc>
          <w:tcPr>
            <w:tcW w:type="dxa" w:w="3024"/>
            <w:shd w:val="clear" w:color="auto" w:fill="F5F5F4"/>
          </w:tcPr>
          <w:p>
            <w:r>
              <w:rPr>
                <w:sz w:val="20"/>
              </w:rPr>
              <w:t>Enables per-client instances to compose exactly the modules they need. Core never imports from extensions — enforces separation by design</w:t>
            </w:r>
          </w:p>
        </w:tc>
      </w:tr>
    </w:tbl>
    <w:p/>
    <w:p>
      <w:pPr>
        <w:pStyle w:val="Heading2"/>
        <w:spacing w:before="200" w:after="80"/>
      </w:pPr>
      <w:r>
        <w:rPr>
          <w:b/>
          <w:color w:val="1A1A2E"/>
          <w:sz w:val="32"/>
        </w:rPr>
        <w:t>Subscription Tier Architecture</w:t>
      </w:r>
    </w:p>
    <w:p>
      <w:pPr>
        <w:spacing w:after="80"/>
      </w:pPr>
      <w:r>
        <w:rPr>
          <w:color w:val="1C1917"/>
          <w:sz w:val="22"/>
        </w:rPr>
        <w:t>The subscription system is built around packages.json with two enforcement namespaces: 'modules' (API-layer) and 'flows' (UX-layer). Tier inheritance is cumulative: Premium includes everything in Pro and Basic.</w:t>
      </w:r>
    </w:p>
    <w:p>
      <w:pPr>
        <w:pStyle w:val="ListBullet"/>
        <w:spacing w:after="40"/>
        <w:ind w:left="360"/>
      </w:pPr>
      <w:r>
        <w:rPr>
          <w:color w:val="1C1917"/>
          <w:sz w:val="22"/>
        </w:rPr>
        <w:t>Basic Plan: Sell, Buy, Stock flows + core settings (company setup, user management, number series)</w:t>
      </w:r>
    </w:p>
    <w:p>
      <w:pPr>
        <w:pStyle w:val="ListBullet"/>
        <w:spacing w:after="40"/>
        <w:ind w:left="360"/>
      </w:pPr>
      <w:r>
        <w:rPr>
          <w:color w:val="1C1917"/>
          <w:sz w:val="22"/>
        </w:rPr>
        <w:t>Professional Plan: Adds Money flow, People/HR flow, Customers/CRM flow + advanced settings (workflow config, notification rules, pipeline editor)</w:t>
      </w:r>
    </w:p>
    <w:p>
      <w:pPr>
        <w:pStyle w:val="ListBullet"/>
        <w:spacing w:after="40"/>
        <w:ind w:left="360"/>
      </w:pPr>
      <w:r>
        <w:rPr>
          <w:color w:val="1C1917"/>
          <w:sz w:val="22"/>
        </w:rPr>
        <w:t>Enterprise Premium Plan: Adds Manufacture, Projects, Assets, Support flows + BI module + advanced document management</w:t>
      </w:r>
    </w:p>
    <w:p>
      <w:r>
        <w:br w:type="page"/>
      </w:r>
    </w:p>
    <w:p>
      <w:pPr>
        <w:pStyle w:val="Heading1"/>
        <w:spacing w:before="280" w:after="80"/>
      </w:pPr>
      <w:r>
        <w:rPr>
          <w:b/>
          <w:color w:val="1A1A2E"/>
          <w:sz w:val="44"/>
        </w:rPr>
        <w:t>Appendix B: How Our PM Artifacts Changed for AI</w:t>
      </w:r>
    </w:p>
    <w:p>
      <w:pPr>
        <w:spacing w:after="80"/>
      </w:pPr>
      <w:r>
        <w:rPr>
          <w:color w:val="1C1917"/>
          <w:sz w:val="22"/>
        </w:rPr>
        <w:t>The assignment asks us to show explicitly how PM artifacts change when the product is AI-powered. Here is our honest reflection on exactly that:</w:t>
      </w:r>
    </w:p>
    <w:tbl>
      <w:tblPr>
        <w:tblStyle w:val="TableGrid"/>
        <w:tblW w:type="auto" w:w="0"/>
        <w:tblLook w:firstColumn="1" w:firstRow="1" w:lastColumn="0" w:lastRow="0" w:noHBand="0" w:noVBand="1" w:val="04A0"/>
      </w:tblPr>
      <w:tblGrid>
        <w:gridCol w:w="4536"/>
        <w:gridCol w:w="4536"/>
      </w:tblGrid>
      <w:tr>
        <w:tc>
          <w:tcPr>
            <w:tcW w:type="dxa" w:w="4536"/>
            <w:shd w:val="clear" w:color="auto" w:fill="1A1A2E"/>
          </w:tcPr>
          <w:p>
            <w:r>
              <w:rPr>
                <w:b/>
                <w:color w:val="FFFFFF"/>
                <w:sz w:val="20"/>
              </w:rPr>
              <w:t>Standard PM Artifact</w:t>
            </w:r>
          </w:p>
        </w:tc>
        <w:tc>
          <w:tcPr>
            <w:tcW w:type="dxa" w:w="4536"/>
            <w:shd w:val="clear" w:color="auto" w:fill="1A1A2E"/>
          </w:tcPr>
          <w:p>
            <w:r>
              <w:rPr>
                <w:b/>
                <w:color w:val="FFFFFF"/>
                <w:sz w:val="20"/>
              </w:rPr>
              <w:t>What Changed for BES's AI Layer</w:t>
            </w:r>
          </w:p>
        </w:tc>
      </w:tr>
      <w:tr>
        <w:tc>
          <w:tcPr>
            <w:tcW w:type="dxa" w:w="4536"/>
          </w:tcPr>
          <w:p>
            <w:r>
              <w:rPr>
                <w:sz w:val="20"/>
              </w:rPr>
              <w:t>Problem Statement</w:t>
            </w:r>
          </w:p>
        </w:tc>
        <w:tc>
          <w:tcPr>
            <w:tcW w:type="dxa" w:w="4536"/>
          </w:tcPr>
          <w:p>
            <w:r>
              <w:rPr>
                <w:sz w:val="20"/>
              </w:rPr>
              <w:t>Had to define specific decisions being improved (invoice matching, demand forecasting) — not just 'make operations faster'. Vague problem statements produce vague AI solutions.</w:t>
            </w:r>
          </w:p>
        </w:tc>
      </w:tr>
      <w:tr>
        <w:tc>
          <w:tcPr>
            <w:tcW w:type="dxa" w:w="4536"/>
            <w:shd w:val="clear" w:color="auto" w:fill="F5F5F4"/>
          </w:tcPr>
          <w:p>
            <w:r>
              <w:rPr>
                <w:sz w:val="20"/>
              </w:rPr>
              <w:t>Persona / User Story</w:t>
            </w:r>
          </w:p>
        </w:tc>
        <w:tc>
          <w:tcPr>
            <w:tcW w:type="dxa" w:w="4536"/>
            <w:shd w:val="clear" w:color="auto" w:fill="F5F5F4"/>
          </w:tcPr>
          <w:p>
            <w:r>
              <w:rPr>
                <w:sz w:val="20"/>
              </w:rPr>
              <w:t>Had to account for the reviewer's trust posture, risk tolerance for AI errors, and error cost if AI is wrong. A finance controller who approves an AI-matched invoice has personal accountability — this changed how we designed override and explanation UX.</w:t>
            </w:r>
          </w:p>
        </w:tc>
      </w:tr>
      <w:tr>
        <w:tc>
          <w:tcPr>
            <w:tcW w:type="dxa" w:w="4536"/>
          </w:tcPr>
          <w:p>
            <w:r>
              <w:rPr>
                <w:sz w:val="20"/>
              </w:rPr>
              <w:t>PRD</w:t>
            </w:r>
          </w:p>
        </w:tc>
        <w:tc>
          <w:tcPr>
            <w:tcW w:type="dxa" w:w="4536"/>
          </w:tcPr>
          <w:p>
            <w:r>
              <w:rPr>
                <w:sz w:val="20"/>
              </w:rPr>
              <w:t>Added: data assumptions section (what data do we need, at what quality?), fallback logic (what happens when AI confidence is low?), cold-start plan (how do new tenants get value before models are trained?), and model drift monitoring plan.</w:t>
            </w:r>
          </w:p>
        </w:tc>
      </w:tr>
      <w:tr>
        <w:tc>
          <w:tcPr>
            <w:tcW w:type="dxa" w:w="4536"/>
            <w:shd w:val="clear" w:color="auto" w:fill="F5F5F4"/>
          </w:tcPr>
          <w:p>
            <w:r>
              <w:rPr>
                <w:sz w:val="20"/>
              </w:rPr>
              <w:t>Roadmap</w:t>
            </w:r>
          </w:p>
        </w:tc>
        <w:tc>
          <w:tcPr>
            <w:tcW w:type="dxa" w:w="4536"/>
            <w:shd w:val="clear" w:color="auto" w:fill="F5F5F4"/>
          </w:tcPr>
          <w:p>
            <w:r>
              <w:rPr>
                <w:sz w:val="20"/>
              </w:rPr>
              <w:t>Added staged learning gates: Phase 2 AI features do not move to Phase 3 until pilot metrics (precision, override rate) meet thresholds. The roadmap is not just about features — it is about proof gates.</w:t>
            </w:r>
          </w:p>
        </w:tc>
      </w:tr>
      <w:tr>
        <w:tc>
          <w:tcPr>
            <w:tcW w:type="dxa" w:w="4536"/>
          </w:tcPr>
          <w:p>
            <w:r>
              <w:rPr>
                <w:sz w:val="20"/>
              </w:rPr>
              <w:t>Metrics</w:t>
            </w:r>
          </w:p>
        </w:tc>
        <w:tc>
          <w:tcPr>
            <w:tcW w:type="dxa" w:w="4536"/>
          </w:tcPr>
          <w:p>
            <w:r>
              <w:rPr>
                <w:sz w:val="20"/>
              </w:rPr>
              <w:t>Added trust/guardrail metrics (override rate, false auto-approval rate, reviewer complaint rate) alongside standard product and business metrics. Technical metrics (precision/recall) are also in the PRD, not just the engineering spec.</w:t>
            </w:r>
          </w:p>
        </w:tc>
      </w:tr>
      <w:tr>
        <w:tc>
          <w:tcPr>
            <w:tcW w:type="dxa" w:w="4536"/>
            <w:shd w:val="clear" w:color="auto" w:fill="F5F5F4"/>
          </w:tcPr>
          <w:p>
            <w:r>
              <w:rPr>
                <w:sz w:val="20"/>
              </w:rPr>
              <w:t>Launch Checklist</w:t>
            </w:r>
          </w:p>
        </w:tc>
        <w:tc>
          <w:tcPr>
            <w:tcW w:type="dxa" w:w="4536"/>
            <w:shd w:val="clear" w:color="auto" w:fill="F5F5F4"/>
          </w:tcPr>
          <w:p>
            <w:r>
              <w:rPr>
                <w:sz w:val="20"/>
              </w:rPr>
              <w:t>Added: explainability review (can we explain every AI decision to a skeptical finance controller?), rollback plan (how do we disable AI features without disrupting the manual workflow?), escalation path (who owns an AI error report?).</w:t>
            </w:r>
          </w:p>
        </w:tc>
      </w:tr>
      <w:tr>
        <w:tc>
          <w:tcPr>
            <w:tcW w:type="dxa" w:w="4536"/>
          </w:tcPr>
          <w:p>
            <w:r>
              <w:rPr>
                <w:sz w:val="20"/>
              </w:rPr>
              <w:t>Pricing Note</w:t>
            </w:r>
          </w:p>
        </w:tc>
        <w:tc>
          <w:tcPr>
            <w:tcW w:type="dxa" w:w="4536"/>
          </w:tcPr>
          <w:p>
            <w:r>
              <w:rPr>
                <w:sz w:val="20"/>
              </w:rPr>
              <w:t>Added AI operating cost per tenant per month as a cost driver. Pro tier pricing includes margin for 2,000 AI API calls/month. Premium tier includes margin for custom model hosting.</w:t>
            </w:r>
          </w:p>
        </w:tc>
      </w:tr>
      <w:tr>
        <w:tc>
          <w:tcPr>
            <w:tcW w:type="dxa" w:w="4536"/>
            <w:shd w:val="clear" w:color="auto" w:fill="F5F5F4"/>
          </w:tcPr>
          <w:p>
            <w:r>
              <w:rPr>
                <w:sz w:val="20"/>
              </w:rPr>
              <w:t>Review Memo</w:t>
            </w:r>
          </w:p>
        </w:tc>
        <w:tc>
          <w:tcPr>
            <w:tcW w:type="dxa" w:w="4536"/>
            <w:shd w:val="clear" w:color="auto" w:fill="F5F5F4"/>
          </w:tcPr>
          <w:p>
            <w:r>
              <w:rPr>
                <w:sz w:val="20"/>
              </w:rPr>
              <w:t>Had to separate 'AI is cool' hype from defensible product logic. Our review memo explicitly argues why AI is better than rule-based alternatives for each specific use case, and where simple rules are actually sufficient.</w:t>
            </w:r>
          </w:p>
        </w:tc>
      </w:tr>
    </w:tbl>
    <w:p/>
    <w:p>
      <w:pPr>
        <w:spacing w:before="80" w:after="80"/>
      </w:pPr>
      <w:r>
        <w:rPr>
          <w:color w:val="D6D3D1"/>
          <w:sz w:val="18"/>
        </w:rPr>
        <w:t>────────────────────────────────────────────────────────────────────────────────</w:t>
      </w:r>
    </w:p>
    <w:p>
      <w:pPr>
        <w:jc w:val="center"/>
      </w:pPr>
      <w:r>
        <w:rPr>
          <w:i/>
          <w:color w:val="78716C"/>
          <w:sz w:val="20"/>
        </w:rPr>
        <w:t>Business Execution System (BES) Capstone Submission  |  MBA ZG583 — Management of AI Products  |  Submitted: September 14, 2026</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