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Handbook</w:t>
      </w:r>
    </w:p>
    <w:p>
      <w:r>
        <w:t>This document exercises headings, lists, tables and styling.</w:t>
      </w:r>
    </w:p>
    <w:p>
      <w:pPr>
        <w:pStyle w:val="Heading2"/>
      </w:pPr>
      <w:r>
        <w:t>Principles</w:t>
      </w:r>
    </w:p>
    <w:p>
      <w:pPr>
        <w:pStyle w:val="ListBullet"/>
      </w:pPr>
      <w:r>
        <w:t>Extract natively whenever possible.</w:t>
      </w:r>
    </w:p>
    <w:p>
      <w:pPr>
        <w:pStyle w:val="ListBullet"/>
      </w:pPr>
      <w:r>
        <w:t>OCR only pages that require OCR.</w:t>
      </w:r>
    </w:p>
    <w:p>
      <w:pPr>
        <w:pStyle w:val="ListNumber"/>
      </w:pPr>
      <w:r>
        <w:t>Inspect the document.</w:t>
      </w:r>
    </w:p>
    <w:p>
      <w:pPr>
        <w:pStyle w:val="ListNumber"/>
      </w:pPr>
      <w:r>
        <w:t>Route each page.</w:t>
      </w:r>
    </w:p>
    <w:p>
      <w:pPr>
        <w:pStyle w:val="ListNumber"/>
      </w:pPr>
      <w:r>
        <w:t>Normalize the result.</w:t>
      </w:r>
    </w:p>
    <w:p>
      <w:pPr>
        <w:pStyle w:val="Heading2"/>
      </w:pPr>
      <w:r>
        <w:t>Styling</w:t>
      </w:r>
    </w:p>
    <w:p>
      <w:r>
        <w:t xml:space="preserve">Text can be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>, or plain.</w:t>
      </w:r>
    </w:p>
    <w:p>
      <w:pPr>
        <w:pStyle w:val="Heading2"/>
      </w:pPr>
      <w:r>
        <w:t>Routing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Needs OCR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anydoc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Scanned PDF</w:t>
            </w:r>
          </w:p>
        </w:tc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Spans two columns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