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ind/>
        <w:jc w:val="center"/>
        <w:rPr>
          <w:rFonts w:ascii="Times New Roman" w:hAnsi="Times New Roman"/>
          <w:sz w:val="28"/>
        </w:rPr>
      </w:pPr>
    </w:p>
    <w:p w14:paraId="08000000">
      <w:pPr>
        <w:ind w:firstLine="0" w:left="48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УТВЕРЖДАЮ</w:t>
      </w:r>
    </w:p>
    <w:p w14:paraId="09000000">
      <w:pPr>
        <w:tabs>
          <w:tab w:leader="none" w:pos="4820" w:val="left"/>
        </w:tabs>
        <w:ind w:firstLine="0" w:left="482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w:t>Заместитель генерального директора</w:t>
      </w:r>
      <w:r>
        <w:rPr>
          <w:rFonts w:ascii="Times New Roman" w:hAnsi="Times New Roman"/>
          <w:sz w:val="28"/>
        </w:rPr>
        <w:t xml:space="preserve"> </w:t>
      </w:r>
    </w:p>
    <w:p w14:paraId="0A000000">
      <w:pPr>
        <w:tabs>
          <w:tab w:leader="none" w:pos="4820" w:val="left"/>
        </w:tabs>
        <w:ind w:firstLine="0" w:left="482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w:t>по производству</w:t>
      </w:r>
    </w:p>
    <w:p w14:paraId="0B000000">
      <w:pPr>
        <w:tabs>
          <w:tab w:leader="none" w:pos="4820" w:val="left"/>
        </w:tabs>
        <w:ind w:firstLine="0" w:left="48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ООО «Арктик Атом-Сервис»</w:t>
      </w:r>
    </w:p>
    <w:p w14:paraId="0C000000">
      <w:pPr>
        <w:tabs>
          <w:tab w:leader="none" w:pos="5103" w:val="left"/>
        </w:tabs>
        <w:ind w:firstLine="0" w:left="482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sz w:val="28"/>
        </w:rPr>
        <w:t xml:space="preserve">______________ </w:t>
      </w:r>
      <w:r>
        <w:rPr>
          <w:rFonts w:ascii="Times New Roman" w:hAnsi="Times New Roman"/>
          <w:sz w:val="28"/>
        </w:rPr>
        <w:t>Д.Б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Ковнацкий</w:t>
      </w:r>
    </w:p>
    <w:p w14:paraId="0D000000">
      <w:pPr>
        <w:ind w:firstLine="0" w:left="4820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 xml:space="preserve">«_____» _____________ </w:t>
      </w:r>
      <w:r>
        <w:rPr>
          <w:rFonts w:ascii="Times New Roman" w:hAnsi="Times New Roman"/>
          <w:sz w:val="28"/>
        </w:rPr>
        <w:t>2026 г.</w:t>
      </w:r>
    </w:p>
    <w:p w14:paraId="0E000000">
      <w:pPr>
        <w:ind/>
        <w:jc w:val="center"/>
        <w:rPr>
          <w:rFonts w:ascii="Times New Roman" w:hAnsi="Times New Roman"/>
          <w:sz w:val="28"/>
        </w:rPr>
      </w:pPr>
    </w:p>
    <w:p w14:paraId="0F000000">
      <w:pPr>
        <w:ind/>
        <w:jc w:val="center"/>
        <w:rPr>
          <w:rFonts w:ascii="Times New Roman" w:hAnsi="Times New Roman"/>
          <w:sz w:val="28"/>
        </w:rPr>
      </w:pPr>
    </w:p>
    <w:p w14:paraId="10000000">
      <w:pPr>
        <w:ind/>
        <w:jc w:val="center"/>
        <w:rPr>
          <w:rFonts w:ascii="Times New Roman" w:hAnsi="Times New Roman"/>
          <w:sz w:val="28"/>
        </w:rPr>
      </w:pPr>
    </w:p>
    <w:p w14:paraId="11000000">
      <w:pPr>
        <w:ind/>
        <w:jc w:val="center"/>
        <w:rPr>
          <w:rFonts w:ascii="Times New Roman" w:hAnsi="Times New Roman"/>
          <w:sz w:val="28"/>
        </w:rPr>
      </w:pPr>
    </w:p>
    <w:p w14:paraId="12000000">
      <w:pPr>
        <w:ind/>
        <w:jc w:val="center"/>
        <w:rPr>
          <w:rFonts w:ascii="Times New Roman" w:hAnsi="Times New Roman"/>
          <w:sz w:val="28"/>
        </w:rPr>
      </w:pPr>
    </w:p>
    <w:p w14:paraId="13000000">
      <w:pPr>
        <w:ind/>
        <w:jc w:val="center"/>
        <w:rPr>
          <w:rFonts w:ascii="Times New Roman" w:hAnsi="Times New Roman"/>
          <w:sz w:val="28"/>
        </w:rPr>
      </w:pPr>
    </w:p>
    <w:p w14:paraId="14000000">
      <w:pPr>
        <w:ind/>
        <w:jc w:val="center"/>
        <w:rPr>
          <w:rFonts w:ascii="Times New Roman" w:hAnsi="Times New Roman"/>
          <w:sz w:val="28"/>
        </w:rPr>
      </w:pPr>
    </w:p>
    <w:p w14:paraId="15000000">
      <w:pPr>
        <w:ind/>
        <w:jc w:val="center"/>
        <w:rPr>
          <w:rFonts w:ascii="Times New Roman" w:hAnsi="Times New Roman"/>
          <w:sz w:val="28"/>
        </w:rPr>
      </w:pPr>
    </w:p>
    <w:p w14:paraId="16000000">
      <w:pPr>
        <w:ind/>
        <w:jc w:val="center"/>
        <w:rPr>
          <w:rFonts w:ascii="Times New Roman" w:hAnsi="Times New Roman"/>
          <w:sz w:val="28"/>
        </w:rPr>
      </w:pPr>
    </w:p>
    <w:p w14:paraId="17000000">
      <w:pPr>
        <w:ind/>
        <w:jc w:val="center"/>
        <w:rPr>
          <w:rFonts w:ascii="Times New Roman" w:hAnsi="Times New Roman"/>
          <w:sz w:val="28"/>
        </w:rPr>
      </w:pPr>
    </w:p>
    <w:p w14:paraId="18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Техническое задание</w:t>
      </w:r>
    </w:p>
    <w:p w14:paraId="19000000">
      <w:pPr>
        <w:ind/>
        <w:jc w:val="center"/>
        <w:rPr>
          <w:rFonts w:ascii="Times New Roman" w:hAnsi="Times New Roman"/>
          <w:sz w:val="28"/>
        </w:rPr>
      </w:pPr>
    </w:p>
    <w:p w14:paraId="1A000000">
      <w:pPr>
        <w:tabs>
          <w:tab w:leader="none" w:pos="4890" w:val="center"/>
          <w:tab w:leader="none" w:pos="8959" w:val="left"/>
        </w:tabs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Предмет закупки: </w:t>
      </w:r>
      <w:r>
        <w:rPr>
          <w:rFonts w:ascii="Times New Roman" w:hAnsi="Times New Roman"/>
          <w:sz w:val="28"/>
        </w:rPr>
        <w:t xml:space="preserve">«Поставка бензина и дизельного топлива </w:t>
      </w:r>
      <w:r>
        <w:rPr>
          <w:rFonts w:ascii="Times New Roman" w:hAnsi="Times New Roman"/>
          <w:sz w:val="28"/>
        </w:rPr>
        <w:t xml:space="preserve">г. </w:t>
      </w:r>
      <w:r>
        <w:rPr>
          <w:rFonts w:ascii="Times New Roman" w:hAnsi="Times New Roman"/>
          <w:sz w:val="28"/>
        </w:rPr>
        <w:t>Певек</w:t>
      </w:r>
      <w:r>
        <w:rPr>
          <w:rFonts w:ascii="Times New Roman" w:hAnsi="Times New Roman"/>
          <w:sz w:val="28"/>
        </w:rPr>
        <w:t xml:space="preserve"> </w:t>
      </w:r>
    </w:p>
    <w:p w14:paraId="1B000000">
      <w:pPr>
        <w:tabs>
          <w:tab w:leader="none" w:pos="4890" w:val="center"/>
          <w:tab w:leader="none" w:pos="8959" w:val="left"/>
        </w:tabs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для нужд </w:t>
      </w:r>
      <w:r>
        <w:rPr>
          <w:rFonts w:ascii="Times New Roman" w:hAnsi="Times New Roman"/>
          <w:sz w:val="28"/>
        </w:rPr>
        <w:t>ООО «Арктик Атом-Сервис»</w:t>
      </w:r>
    </w:p>
    <w:p w14:paraId="1C000000">
      <w:pPr>
        <w:rPr>
          <w:rFonts w:ascii="Times New Roman" w:hAnsi="Times New Roman"/>
          <w:sz w:val="28"/>
        </w:rPr>
      </w:pPr>
    </w:p>
    <w:p w14:paraId="1D000000">
      <w:pPr>
        <w:rPr>
          <w:rFonts w:ascii="Times New Roman" w:hAnsi="Times New Roman"/>
          <w:sz w:val="28"/>
        </w:rPr>
      </w:pPr>
    </w:p>
    <w:p w14:paraId="1E000000">
      <w:pPr>
        <w:rPr>
          <w:rFonts w:ascii="Times New Roman" w:hAnsi="Times New Roman"/>
          <w:sz w:val="28"/>
        </w:rPr>
      </w:pPr>
    </w:p>
    <w:p w14:paraId="1F000000">
      <w:pPr>
        <w:rPr>
          <w:rFonts w:ascii="Times New Roman" w:hAnsi="Times New Roman"/>
          <w:sz w:val="28"/>
        </w:rPr>
      </w:pPr>
    </w:p>
    <w:p w14:paraId="20000000">
      <w:pPr>
        <w:rPr>
          <w:rFonts w:ascii="Times New Roman" w:hAnsi="Times New Roman"/>
          <w:sz w:val="28"/>
        </w:rPr>
      </w:pPr>
    </w:p>
    <w:p w14:paraId="21000000">
      <w:pPr>
        <w:rPr>
          <w:rFonts w:ascii="Times New Roman" w:hAnsi="Times New Roman"/>
          <w:sz w:val="28"/>
        </w:rPr>
      </w:pPr>
    </w:p>
    <w:p w14:paraId="22000000">
      <w:pPr>
        <w:rPr>
          <w:rFonts w:ascii="Times New Roman" w:hAnsi="Times New Roman"/>
          <w:sz w:val="28"/>
        </w:rPr>
      </w:pPr>
    </w:p>
    <w:p w14:paraId="23000000">
      <w:pPr>
        <w:rPr>
          <w:rFonts w:ascii="Times New Roman" w:hAnsi="Times New Roman"/>
          <w:sz w:val="28"/>
        </w:rPr>
      </w:pPr>
    </w:p>
    <w:p w14:paraId="24000000">
      <w:pPr>
        <w:rPr>
          <w:rFonts w:ascii="Times New Roman" w:hAnsi="Times New Roman"/>
          <w:sz w:val="28"/>
        </w:rPr>
      </w:pPr>
    </w:p>
    <w:p w14:paraId="25000000">
      <w:pPr>
        <w:rPr>
          <w:rFonts w:ascii="Times New Roman" w:hAnsi="Times New Roman"/>
          <w:sz w:val="28"/>
        </w:rPr>
      </w:pPr>
    </w:p>
    <w:p w14:paraId="26000000">
      <w:pPr>
        <w:ind/>
        <w:jc w:val="center"/>
        <w:rPr>
          <w:rFonts w:ascii="Times New Roman" w:hAnsi="Times New Roman"/>
          <w:sz w:val="28"/>
        </w:rPr>
      </w:pPr>
    </w:p>
    <w:p w14:paraId="27000000">
      <w:pPr>
        <w:ind/>
        <w:jc w:val="center"/>
        <w:rPr>
          <w:rFonts w:ascii="Times New Roman" w:hAnsi="Times New Roman"/>
          <w:sz w:val="28"/>
        </w:rPr>
      </w:pPr>
    </w:p>
    <w:p w14:paraId="28000000">
      <w:pPr>
        <w:ind/>
        <w:jc w:val="center"/>
        <w:rPr>
          <w:rFonts w:ascii="Times New Roman" w:hAnsi="Times New Roman"/>
          <w:sz w:val="28"/>
        </w:rPr>
      </w:pPr>
    </w:p>
    <w:p w14:paraId="29000000">
      <w:pPr>
        <w:ind/>
        <w:jc w:val="center"/>
        <w:rPr>
          <w:rFonts w:ascii="Times New Roman" w:hAnsi="Times New Roman"/>
          <w:sz w:val="28"/>
        </w:rPr>
      </w:pPr>
    </w:p>
    <w:p w14:paraId="2A000000">
      <w:pPr>
        <w:ind/>
        <w:jc w:val="center"/>
        <w:rPr>
          <w:rFonts w:ascii="Times New Roman" w:hAnsi="Times New Roman"/>
          <w:sz w:val="28"/>
        </w:rPr>
      </w:pPr>
    </w:p>
    <w:p w14:paraId="2B000000">
      <w:pPr>
        <w:ind/>
        <w:jc w:val="center"/>
        <w:rPr>
          <w:rFonts w:ascii="Times New Roman" w:hAnsi="Times New Roman"/>
          <w:sz w:val="28"/>
        </w:rPr>
      </w:pPr>
    </w:p>
    <w:p w14:paraId="2C000000">
      <w:pPr>
        <w:ind/>
        <w:jc w:val="center"/>
        <w:rPr>
          <w:rFonts w:ascii="Times New Roman" w:hAnsi="Times New Roman"/>
          <w:sz w:val="28"/>
        </w:rPr>
      </w:pPr>
    </w:p>
    <w:p w14:paraId="2D000000">
      <w:pPr>
        <w:ind/>
        <w:jc w:val="center"/>
        <w:rPr>
          <w:rFonts w:ascii="Times New Roman" w:hAnsi="Times New Roman"/>
          <w:sz w:val="28"/>
        </w:rPr>
      </w:pPr>
    </w:p>
    <w:p w14:paraId="2E000000">
      <w:pPr>
        <w:ind/>
        <w:jc w:val="center"/>
        <w:rPr>
          <w:rFonts w:ascii="Times New Roman" w:hAnsi="Times New Roman"/>
          <w:sz w:val="28"/>
        </w:rPr>
      </w:pPr>
    </w:p>
    <w:p w14:paraId="2F000000">
      <w:pPr>
        <w:ind/>
        <w:jc w:val="center"/>
        <w:rPr>
          <w:rFonts w:ascii="Times New Roman" w:hAnsi="Times New Roman"/>
          <w:sz w:val="28"/>
        </w:rPr>
      </w:pPr>
    </w:p>
    <w:p w14:paraId="30000000">
      <w:pPr>
        <w:ind/>
        <w:jc w:val="center"/>
        <w:rPr>
          <w:rFonts w:ascii="Times New Roman" w:hAnsi="Times New Roman"/>
          <w:sz w:val="28"/>
        </w:rPr>
      </w:pPr>
    </w:p>
    <w:p w14:paraId="31000000">
      <w:pPr>
        <w:ind/>
        <w:jc w:val="center"/>
        <w:rPr>
          <w:rFonts w:ascii="Times New Roman" w:hAnsi="Times New Roman"/>
          <w:sz w:val="28"/>
        </w:rPr>
      </w:pPr>
    </w:p>
    <w:p w14:paraId="32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г. </w:t>
      </w:r>
      <w:r>
        <w:rPr>
          <w:rFonts w:ascii="Times New Roman" w:hAnsi="Times New Roman"/>
          <w:sz w:val="28"/>
        </w:rPr>
        <w:t>Певек</w:t>
      </w:r>
    </w:p>
    <w:p w14:paraId="33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2026</w:t>
      </w:r>
      <w:r>
        <w:rPr>
          <w:rFonts w:ascii="Times New Roman" w:hAnsi="Times New Roman"/>
          <w:sz w:val="28"/>
        </w:rPr>
        <w:br w:type="page"/>
      </w:r>
    </w:p>
    <w:p w14:paraId="34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Техническое задание</w:t>
      </w:r>
    </w:p>
    <w:p w14:paraId="35000000">
      <w:pPr>
        <w:ind/>
        <w:jc w:val="center"/>
        <w:rPr>
          <w:rFonts w:ascii="Times New Roman" w:hAnsi="Times New Roman"/>
          <w:sz w:val="28"/>
        </w:rPr>
      </w:pPr>
    </w:p>
    <w:p w14:paraId="36000000">
      <w:pPr>
        <w:tabs>
          <w:tab w:leader="none" w:pos="4890" w:val="center"/>
          <w:tab w:leader="none" w:pos="8959" w:val="left"/>
        </w:tabs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Предмет закупки: </w:t>
      </w:r>
      <w:r>
        <w:rPr>
          <w:rFonts w:ascii="Times New Roman" w:hAnsi="Times New Roman"/>
          <w:sz w:val="28"/>
        </w:rPr>
        <w:t xml:space="preserve">«Поставка бензина и дизельного топлива </w:t>
      </w:r>
      <w:r>
        <w:rPr>
          <w:rFonts w:ascii="Times New Roman" w:hAnsi="Times New Roman"/>
          <w:sz w:val="28"/>
        </w:rPr>
        <w:t xml:space="preserve">г. </w:t>
      </w:r>
      <w:r>
        <w:rPr>
          <w:rFonts w:ascii="Times New Roman" w:hAnsi="Times New Roman"/>
          <w:sz w:val="28"/>
        </w:rPr>
        <w:t>Певек</w:t>
      </w:r>
      <w:r>
        <w:rPr>
          <w:rFonts w:ascii="Times New Roman" w:hAnsi="Times New Roman"/>
          <w:sz w:val="28"/>
        </w:rPr>
        <w:t xml:space="preserve"> </w:t>
      </w:r>
    </w:p>
    <w:p w14:paraId="37000000">
      <w:pPr>
        <w:tabs>
          <w:tab w:leader="none" w:pos="4890" w:val="center"/>
          <w:tab w:leader="none" w:pos="8959" w:val="left"/>
        </w:tabs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для нужд </w:t>
      </w:r>
      <w:r>
        <w:rPr>
          <w:rFonts w:ascii="Times New Roman" w:hAnsi="Times New Roman"/>
          <w:sz w:val="28"/>
        </w:rPr>
        <w:t>ООО «Арктик Атом-Сервис»</w:t>
      </w:r>
    </w:p>
    <w:p w14:paraId="38000000">
      <w:pPr>
        <w:rPr>
          <w:rFonts w:ascii="Times New Roman" w:hAnsi="Times New Roman"/>
          <w:sz w:val="28"/>
        </w:rPr>
      </w:pPr>
    </w:p>
    <w:p w14:paraId="39000000">
      <w:pPr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СОДЕРЖАНИЕ</w:t>
      </w:r>
    </w:p>
    <w:p w14:paraId="3A000000">
      <w:pPr>
        <w:ind/>
        <w:jc w:val="center"/>
        <w:rPr>
          <w:rFonts w:ascii="Times New Roman" w:hAnsi="Times New Roman"/>
          <w:sz w:val="28"/>
        </w:rPr>
      </w:pPr>
    </w:p>
    <w:p w14:paraId="3B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РАЗДЕЛ 1. ОБЩИЕ СВЕДЕНИЯ </w:t>
      </w:r>
    </w:p>
    <w:p w14:paraId="3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Подраздел 1.1 Наименование </w:t>
      </w:r>
    </w:p>
    <w:p w14:paraId="3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Подраздел 1.2 Сведения о новизне</w:t>
      </w:r>
    </w:p>
    <w:p w14:paraId="3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Подраздел 1.3 Этапы разработки / изготовления</w:t>
      </w:r>
    </w:p>
    <w:p w14:paraId="3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Подраздел 1.4 Документы для разработки / изготовления</w:t>
      </w:r>
    </w:p>
    <w:p w14:paraId="4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Подраздел 1.5 Код </w:t>
      </w:r>
      <w:r>
        <w:rPr>
          <w:rFonts w:ascii="Times New Roman" w:hAnsi="Times New Roman"/>
          <w:sz w:val="28"/>
        </w:rPr>
        <w:t>ОКПД 2/ОКВЭД 2</w:t>
      </w:r>
    </w:p>
    <w:p w14:paraId="4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2. ОБЛАСТЬ ПРИМЕНЕНИЯ</w:t>
      </w:r>
    </w:p>
    <w:p w14:paraId="4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3. УСЛОВИЯ ЭКСПЛУАТАЦИИ</w:t>
      </w:r>
    </w:p>
    <w:p w14:paraId="4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4. ТЕХНИЧЕСКИЕ ТРЕБОВАНИЯ</w:t>
      </w:r>
    </w:p>
    <w:p w14:paraId="4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Подраздел 4.1 Технические, функциональные и качественные характеристики (потребительские свойства) товаров </w:t>
      </w:r>
    </w:p>
    <w:p w14:paraId="4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Подраздел 4.2 Требования к надежности </w:t>
      </w:r>
    </w:p>
    <w:p w14:paraId="4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Подраздел 4.3 Требования к составным частям, исходным и эксплуатационным материалам</w:t>
      </w:r>
    </w:p>
    <w:p w14:paraId="47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Подраздел 4.4 Требования к маркировке </w:t>
      </w:r>
    </w:p>
    <w:p w14:paraId="48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Подраздел 4.5 Требования к упаковке</w:t>
      </w:r>
    </w:p>
    <w:p w14:paraId="49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5. ТРЕБОВАНИЯ ПО ПРАВИЛАМ СДАЧИ И ПРИЕМКИ</w:t>
      </w:r>
    </w:p>
    <w:p w14:paraId="4A000000">
      <w:pPr>
        <w:tabs>
          <w:tab w:leader="none" w:pos="851" w:val="left"/>
        </w:tabs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Подраздел 5.1 Порядок сдачи и приемки</w:t>
      </w:r>
    </w:p>
    <w:p w14:paraId="4B000000">
      <w:pPr>
        <w:tabs>
          <w:tab w:leader="none" w:pos="1276" w:val="left"/>
        </w:tabs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Подраздел 5.2 Требования по передаче заказчику технических и иных документов при поставке товаров</w:t>
      </w:r>
    </w:p>
    <w:p w14:paraId="4C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6. ТРЕБОВАНИЯ К ТРАНСПОРТИРОВАНИЮ</w:t>
      </w:r>
    </w:p>
    <w:p w14:paraId="4D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7. ТРЕБОВАНИЯ К ХРАНЕНИЮ</w:t>
      </w:r>
    </w:p>
    <w:p w14:paraId="4E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8. ТРЕБОВАНИЯ К ОБЪЕМУ И/ИЛИ СРОКУ ПРЕДОСТАВЛЕНИЯ ГАРАНТИЙ</w:t>
      </w:r>
    </w:p>
    <w:p w14:paraId="4F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9. ТРЕБОВАНИЯ К ОБСЛУЖИВАНИЮ</w:t>
      </w:r>
    </w:p>
    <w:p w14:paraId="50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10. ЭКОЛОГИЧЕСКИЕ ТРЕБОВАНИЯ</w:t>
      </w:r>
    </w:p>
    <w:p w14:paraId="51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11. ТРЕБОВАНИЯ ПО БЕЗОПАСНОСТИ</w:t>
      </w:r>
    </w:p>
    <w:p w14:paraId="5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12. ТРЕБОВАНИЯ К КАЧЕСТВУ</w:t>
      </w:r>
    </w:p>
    <w:p w14:paraId="53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13. ДОПОЛНИТЕЛЬНЫЕ (ИНЫЕ) ТРЕБОВАНИЯ</w:t>
      </w:r>
    </w:p>
    <w:p w14:paraId="54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14. ТРЕБОВАНИЯ К КОЛИЧЕСТВУ И СРОКУ (ПЕРИОДИЧНОСТИ) ПОСТАВКИ</w:t>
      </w:r>
    </w:p>
    <w:p w14:paraId="5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15. ТРЕБОВАНИЕ К ФОРМЕ ПРЕДСТАВЛЯЕМОЙ ИНФОРМАЦИИ</w:t>
      </w:r>
    </w:p>
    <w:p w14:paraId="56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РАЗДЕЛ 16. ПЕРЕЧЕНЬ ПРИЛОЖЕНИЙ</w:t>
      </w:r>
    </w:p>
    <w:p w14:paraId="57000000">
      <w:pPr>
        <w:sectPr>
          <w:headerReference r:id="rId1" w:type="first"/>
          <w:headerReference r:id="rId5" w:type="default"/>
          <w:pgSz w:h="16838" w:orient="portrait" w:w="11906"/>
          <w:pgMar w:bottom="1134" w:footer="0" w:gutter="0" w:header="0" w:left="1418" w:right="748" w:top="1134"/>
          <w:pgNumType w:start="1"/>
          <w:titlePg/>
        </w:sectPr>
      </w:pPr>
    </w:p>
    <w:tbl>
      <w:tblPr>
        <w:tblStyle w:val="Style_2"/>
        <w:tblInd w:type="dxa" w:w="-5"/>
        <w:tblLayout w:type="fixed"/>
      </w:tblPr>
      <w:tblGrid>
        <w:gridCol w:w="867"/>
        <w:gridCol w:w="6910"/>
        <w:gridCol w:w="1801"/>
      </w:tblGrid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1. ОБЩИЕ СВЕДЕНИЯ</w:t>
            </w:r>
          </w:p>
        </w:tc>
      </w:tr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 1.1 Наименование</w:t>
            </w:r>
          </w:p>
        </w:tc>
      </w:tr>
      <w:tr>
        <w:trPr>
          <w:trHeight w:hRule="atLeast" w:val="234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A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Наименование</w:t>
            </w:r>
          </w:p>
        </w:tc>
      </w:tr>
      <w:tr>
        <w:trPr>
          <w:trHeight w:hRule="atLeast" w:val="257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B000000">
            <w:pPr>
              <w:widowControl w:val="0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Топливо дизельное, класс 4, экологического класса К5 ДТ-А-К5 ГОСТ 32511-2013 (или аналог)</w:t>
            </w:r>
          </w:p>
          <w:p w14:paraId="5C000000">
            <w:pPr>
              <w:widowControl w:val="0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Бензин неэтилированный Регуляр-92 АИ-92-3 ГОСТ 32513-2023 (или аналог)</w:t>
            </w:r>
          </w:p>
        </w:tc>
      </w:tr>
      <w:tr>
        <w:trPr>
          <w:trHeight w:hRule="atLeast" w:val="34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D000000">
            <w:pPr>
              <w:widowControl w:val="0"/>
              <w:spacing w:line="276" w:lineRule="auto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Участник закупки должен принять во внимание, что ссылки в закупочной документации на товарные знаки, знаки обслуживания, фирменные наименования, патенты, полезные модели, промышленные образцы, наименование места происхождения товара или наименование изготовителя, носят лишь рекомендательный, а не обязательный характер. Участник закупки может представить в своей заявке на участие в закупке иные товарные знаки, знаки обслуживания, фирменные наименования, патенты, полезные модели, промышленные образцы, места происхождения товара или товар иных изготовителей, при условии, что произведенные замены совместимы между собой, по существу</w:t>
            </w:r>
            <w:r>
              <w:rPr>
                <w:rFonts w:ascii="Times New Roman" w:hAnsi="Times New Roman"/>
                <w:i w:val="1"/>
                <w:sz w:val="28"/>
              </w:rPr>
              <w:t>,</w:t>
            </w:r>
            <w:r>
              <w:rPr>
                <w:rFonts w:ascii="Times New Roman" w:hAnsi="Times New Roman"/>
                <w:i w:val="1"/>
                <w:sz w:val="28"/>
              </w:rPr>
              <w:t xml:space="preserve"> равноценны (эквиваленты) или превосходят по качеству (аналоги) товар, указанный в техническом задании.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E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 1.2 Сведения о новизне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widowControl w:val="0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Автомобильное топливо должно быть новым, поставленным в Чукотский АО не ранее 202</w:t>
            </w:r>
            <w:r>
              <w:rPr>
                <w:rFonts w:ascii="Times New Roman" w:hAnsi="Times New Roman"/>
                <w:i w:val="1"/>
                <w:sz w:val="28"/>
              </w:rPr>
              <w:t>5</w:t>
            </w:r>
            <w:r>
              <w:rPr>
                <w:rFonts w:ascii="Times New Roman" w:hAnsi="Times New Roman"/>
                <w:i w:val="1"/>
                <w:sz w:val="28"/>
              </w:rPr>
              <w:t xml:space="preserve"> г.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0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 1.3 Этапы разработки / изготовления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1000000">
            <w:pPr>
              <w:widowControl w:val="0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Требования отсутствуют.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2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 1.4 Документы для разработки / изготовления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3000000">
            <w:pPr>
              <w:widowControl w:val="0"/>
              <w:spacing w:line="276" w:lineRule="auto"/>
              <w:ind w:firstLine="673" w:left="0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Требования отсутствуют.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4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Подраздел 1.5 Код </w:t>
            </w:r>
            <w:r>
              <w:rPr>
                <w:rFonts w:ascii="Times New Roman" w:hAnsi="Times New Roman"/>
                <w:sz w:val="28"/>
              </w:rPr>
              <w:t>ОКПД 2/ОКВЭД 2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65000000">
            <w:pPr>
              <w:widowControl w:val="0"/>
              <w:ind/>
              <w:rPr>
                <w:rFonts w:ascii="Times New Roman" w:hAnsi="Times New Roman"/>
                <w:i w:val="1"/>
                <w:spacing w:val="-2"/>
                <w:sz w:val="28"/>
              </w:rPr>
            </w:pPr>
            <w:r>
              <w:rPr>
                <w:rFonts w:ascii="Times New Roman" w:hAnsi="Times New Roman"/>
                <w:i w:val="1"/>
                <w:spacing w:val="-2"/>
                <w:sz w:val="28"/>
              </w:rPr>
              <w:t>ОКПД 2 - 19.20.21.111, ОКВЭД 2 - 47.30.11 – бензин автомобильный.</w:t>
            </w:r>
          </w:p>
          <w:p w14:paraId="66000000">
            <w:pPr>
              <w:widowControl w:val="0"/>
              <w:ind/>
              <w:rPr>
                <w:rFonts w:ascii="Times New Roman" w:hAnsi="Times New Roman"/>
                <w:i w:val="1"/>
                <w:spacing w:val="-2"/>
                <w:sz w:val="28"/>
              </w:rPr>
            </w:pPr>
            <w:r>
              <w:rPr>
                <w:rFonts w:ascii="Times New Roman" w:hAnsi="Times New Roman"/>
                <w:i w:val="1"/>
                <w:spacing w:val="-2"/>
                <w:sz w:val="28"/>
              </w:rPr>
              <w:t>ОКПД 2 - 19.20.21.335, ОКВЭД 2 - 47.30.11 – топливо дизельное</w:t>
            </w:r>
          </w:p>
        </w:tc>
      </w:tr>
      <w:tr>
        <w:trPr>
          <w:trHeight w:hRule="atLeast" w:val="26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2. ОБЛАСТЬ ПРИМЕНЕНИЯ</w:t>
            </w:r>
          </w:p>
        </w:tc>
      </w:tr>
      <w:tr>
        <w:trPr>
          <w:trHeight w:hRule="atLeast" w:val="335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8000000">
            <w:pPr>
              <w:widowControl w:val="0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 xml:space="preserve">Автомобильное топливо предназначено для транспортного парка </w:t>
            </w:r>
            <w:r>
              <w:rPr>
                <w:rFonts w:ascii="Times New Roman" w:hAnsi="Times New Roman"/>
                <w:i w:val="1"/>
                <w:sz w:val="28"/>
              </w:rPr>
              <w:t>«Арктик Атом-Сервис»</w:t>
            </w:r>
            <w:r>
              <w:rPr>
                <w:rFonts w:ascii="Times New Roman" w:hAnsi="Times New Roman"/>
                <w:i w:val="1"/>
                <w:sz w:val="28"/>
              </w:rPr>
              <w:t xml:space="preserve"> в </w:t>
            </w:r>
            <w:r>
              <w:rPr>
                <w:rFonts w:ascii="Times New Roman" w:hAnsi="Times New Roman"/>
                <w:i w:val="1"/>
                <w:sz w:val="28"/>
              </w:rPr>
              <w:t xml:space="preserve">г. </w:t>
            </w:r>
            <w:r>
              <w:rPr>
                <w:rFonts w:ascii="Times New Roman" w:hAnsi="Times New Roman"/>
                <w:i w:val="1"/>
                <w:sz w:val="28"/>
              </w:rPr>
              <w:t>Певек.</w:t>
            </w:r>
          </w:p>
        </w:tc>
      </w:tr>
      <w:tr>
        <w:trPr>
          <w:trHeight w:hRule="atLeast" w:val="26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3. УСЛОВИЯ ЭКСПЛУАТАЦИИ</w:t>
            </w:r>
          </w:p>
        </w:tc>
      </w:tr>
      <w:tr>
        <w:trPr>
          <w:trHeight w:hRule="atLeast" w:val="666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pPr>
              <w:widowControl w:val="0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Автомобильное топливо должно быть пригодно для эксплуатации при низких температурах (до – 51</w:t>
            </w:r>
            <w:r>
              <w:rPr>
                <w:rFonts w:ascii="Times New Roman" w:hAnsi="Times New Roman"/>
                <w:i w:val="1"/>
                <w:sz w:val="28"/>
              </w:rPr>
              <w:t xml:space="preserve">° </w:t>
            </w:r>
            <w:r>
              <w:rPr>
                <w:rFonts w:ascii="Times New Roman" w:hAnsi="Times New Roman"/>
                <w:i w:val="1"/>
                <w:sz w:val="28"/>
              </w:rPr>
              <w:t>С).</w:t>
            </w:r>
          </w:p>
        </w:tc>
      </w:tr>
      <w:tr>
        <w:trPr>
          <w:trHeight w:hRule="atLeast" w:val="26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4. ТЕХНИЧЕСКИЕ ТРЕБОВАНИЯ</w:t>
            </w:r>
          </w:p>
        </w:tc>
      </w:tr>
      <w:tr>
        <w:trPr>
          <w:trHeight w:hRule="atLeast" w:val="62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C000000">
            <w:pPr>
              <w:widowControl w:val="0"/>
              <w:spacing w:line="276" w:lineRule="auto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Автомобильное топливо должно быть изготовлено в соответствии с требованиями ГОСТ по технологии, утвержденной в установленном порядке.</w:t>
            </w:r>
          </w:p>
          <w:p w14:paraId="6D000000">
            <w:pPr>
              <w:widowControl w:val="0"/>
              <w:spacing w:line="276" w:lineRule="auto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При поставке аналога требуемой марки топлива, аналог должен полностью соответствовать техническим характеристикам требуемого топлива.</w:t>
            </w:r>
          </w:p>
        </w:tc>
      </w:tr>
      <w:tr>
        <w:trPr>
          <w:trHeight w:hRule="atLeast" w:val="335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 4.1 Технические, функциональные и качественные характеристики (потребительские свойства) товаров</w:t>
            </w:r>
          </w:p>
        </w:tc>
      </w:tr>
      <w:tr>
        <w:trPr>
          <w:trHeight w:hRule="atLeast" w:val="415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</w:tcPr>
          <w:p w14:paraId="6F000000">
            <w:pPr>
              <w:widowControl w:val="0"/>
              <w:spacing w:line="276" w:lineRule="auto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В случае предложения аналога (эквивалента) отечественного или импортного производства, сведения предоставлять в виде сравнительной таблицы по форме приложения 1 к настоящему ТЗ, с приведением информации о фактическом значении характеристик по аналогу в отношении каждого требования технического задания с приложением копий подтверждающих документов.</w:t>
            </w:r>
          </w:p>
        </w:tc>
      </w:tr>
      <w:tr>
        <w:trPr>
          <w:trHeight w:hRule="atLeast" w:val="335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0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 4.2. Требования к надежности</w:t>
            </w:r>
          </w:p>
        </w:tc>
      </w:tr>
      <w:tr>
        <w:trPr>
          <w:trHeight w:hRule="atLeast" w:val="335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widowControl w:val="0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Требования отсутствуют.</w:t>
            </w:r>
          </w:p>
        </w:tc>
      </w:tr>
      <w:tr>
        <w:trPr>
          <w:trHeight w:hRule="atLeast" w:val="335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 4.3. Требования к составным частям, исходным и эксплуатационным материалам</w:t>
            </w:r>
          </w:p>
        </w:tc>
      </w:tr>
      <w:tr>
        <w:trPr>
          <w:trHeight w:hRule="atLeast" w:val="335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pPr>
              <w:widowControl w:val="0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Требования отсутствуют.</w:t>
            </w:r>
          </w:p>
        </w:tc>
      </w:tr>
      <w:tr>
        <w:trPr>
          <w:trHeight w:hRule="atLeast" w:val="335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4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 4.4 Требования к маркировке</w:t>
            </w:r>
          </w:p>
        </w:tc>
      </w:tr>
      <w:tr>
        <w:trPr>
          <w:trHeight w:hRule="atLeast" w:val="608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75000000">
            <w:pPr>
              <w:widowControl w:val="0"/>
              <w:spacing w:line="276" w:lineRule="auto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Маркировка дизельного топлива – по ГОСТ 32511-2013 (или СТО/ТУ в соответствии с действующим стандартом РФ).</w:t>
            </w:r>
          </w:p>
          <w:p w14:paraId="76000000">
            <w:pPr>
              <w:widowControl w:val="0"/>
              <w:spacing w:line="276" w:lineRule="auto"/>
              <w:ind w:firstLine="673" w:left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Маркировка автомобильного бензина – по ГОСТ 32513-2013 (или СТО/ТУ в соответствии с действующим стандартом РФ).</w:t>
            </w:r>
          </w:p>
        </w:tc>
      </w:tr>
      <w:tr>
        <w:trPr>
          <w:trHeight w:hRule="atLeast" w:val="335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7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 4.5 Требования к упаковке</w:t>
            </w:r>
          </w:p>
        </w:tc>
      </w:tr>
      <w:tr>
        <w:trPr>
          <w:trHeight w:hRule="atLeast" w:val="416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8000000">
            <w:pPr>
              <w:widowControl w:val="0"/>
              <w:ind w:firstLine="601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Упаковка автомобильного топлива не требуется, отпуск в тару потребителя.</w:t>
            </w:r>
          </w:p>
        </w:tc>
      </w:tr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9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5. ТРЕБОВАНИЯ ПО ПРАВИЛАМ СДАЧИ И ПРИЕМКИ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A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 5.1 Порядок сдачи и приемки</w:t>
            </w:r>
          </w:p>
        </w:tc>
      </w:tr>
      <w:tr>
        <w:trPr>
          <w:trHeight w:hRule="atLeast" w:val="1031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B000000">
            <w:pPr>
              <w:widowControl w:val="0"/>
              <w:ind w:firstLine="709" w:left="0"/>
              <w:jc w:val="both"/>
              <w:rPr>
                <w:rFonts w:ascii="Times New Roman" w:hAnsi="Times New Roman"/>
                <w:b w:val="1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 xml:space="preserve">Приемка Продукции осуществляется в Месте поставки в г. </w:t>
            </w:r>
            <w:r>
              <w:rPr>
                <w:rFonts w:ascii="Times New Roman" w:hAnsi="Times New Roman"/>
                <w:i w:val="1"/>
                <w:sz w:val="28"/>
              </w:rPr>
              <w:t>Певек</w:t>
            </w:r>
            <w:r>
              <w:rPr>
                <w:rFonts w:ascii="Times New Roman" w:hAnsi="Times New Roman"/>
                <w:i w:val="1"/>
                <w:sz w:val="28"/>
              </w:rPr>
              <w:t xml:space="preserve"> начиная со дня прибытия Продукции (или на следующий рабочий день, если приемка Продукции в день ее доставки Покупателю Поставщиком или перевозчиком невозможна в рамках стандартного рабочего времени). Датой передачи Продукции Покупателю является дата подписания товарной накладной по форме ТОРГ-12 (или УПД) Покупателем. Право собственности и риск случайной гибели Продукции переходит с Поставщика на Покупателя в момент передачи Продукции. </w:t>
            </w:r>
            <w:r>
              <w:rPr>
                <w:rFonts w:ascii="Times New Roman" w:hAnsi="Times New Roman"/>
                <w:b w:val="1"/>
                <w:i w:val="1"/>
                <w:sz w:val="28"/>
              </w:rPr>
              <w:t xml:space="preserve">Выборка топлива осуществляется путем </w:t>
            </w:r>
            <w:r>
              <w:rPr>
                <w:rFonts w:ascii="Times New Roman" w:hAnsi="Times New Roman"/>
                <w:b w:val="1"/>
                <w:i w:val="1"/>
                <w:sz w:val="28"/>
              </w:rPr>
              <w:t>заправки транспортных средств Покупателя на автозаправочной станции в г.</w:t>
            </w:r>
            <w:r>
              <w:rPr>
                <w:rFonts w:ascii="Times New Roman" w:hAnsi="Times New Roman"/>
                <w:b w:val="1"/>
                <w:i w:val="1"/>
                <w:sz w:val="28"/>
              </w:rPr>
              <w:t xml:space="preserve"> Певек</w:t>
            </w:r>
            <w:r>
              <w:rPr>
                <w:rFonts w:ascii="Times New Roman" w:hAnsi="Times New Roman"/>
                <w:b w:val="1"/>
                <w:i w:val="1"/>
                <w:sz w:val="28"/>
              </w:rPr>
              <w:t>.</w:t>
            </w:r>
          </w:p>
          <w:p w14:paraId="7C000000">
            <w:pPr>
              <w:ind w:firstLine="709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 xml:space="preserve">Весь объём продукции Поставщик поставляет одной партией и принимает на хранение. Количество поставки: Дизельное топливо – </w:t>
            </w:r>
            <w:r>
              <w:rPr>
                <w:rFonts w:ascii="Times New Roman" w:hAnsi="Times New Roman"/>
                <w:i w:val="1"/>
                <w:sz w:val="28"/>
              </w:rPr>
              <w:t>120</w:t>
            </w:r>
            <w:r>
              <w:rPr>
                <w:rFonts w:ascii="Times New Roman" w:hAnsi="Times New Roman"/>
                <w:i w:val="1"/>
                <w:sz w:val="28"/>
              </w:rPr>
              <w:t xml:space="preserve"> тонн</w:t>
            </w:r>
            <w:r>
              <w:rPr>
                <w:rFonts w:ascii="Times New Roman" w:hAnsi="Times New Roman"/>
                <w:i w:val="1"/>
                <w:sz w:val="28"/>
              </w:rPr>
              <w:t xml:space="preserve">; Бензин АИ-92 – </w:t>
            </w:r>
            <w:r>
              <w:rPr>
                <w:rFonts w:ascii="Times New Roman" w:hAnsi="Times New Roman"/>
                <w:i w:val="1"/>
                <w:sz w:val="28"/>
              </w:rPr>
              <w:t>6 тонн</w:t>
            </w:r>
            <w:r>
              <w:rPr>
                <w:rFonts w:ascii="Times New Roman" w:hAnsi="Times New Roman"/>
                <w:i w:val="1"/>
                <w:sz w:val="28"/>
              </w:rPr>
              <w:t>.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 5.2 Требования по передаче заказчику технических и иных документов при поставке товаров</w:t>
            </w:r>
          </w:p>
        </w:tc>
      </w:tr>
      <w:tr>
        <w:trPr>
          <w:trHeight w:hRule="atLeast" w:val="98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00000">
            <w:pPr>
              <w:widowControl w:val="0"/>
              <w:tabs>
                <w:tab w:leader="none" w:pos="4677" w:val="center"/>
                <w:tab w:leader="none" w:pos="9355" w:val="right"/>
              </w:tabs>
              <w:spacing w:line="276" w:lineRule="auto"/>
              <w:ind w:firstLine="673" w:left="0" w:right="34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 xml:space="preserve">В соответствии с действующим законодательством Российской Федерации и нормативно-технической документацией, действующей в </w:t>
            </w:r>
            <w:r>
              <w:rPr>
                <w:rFonts w:ascii="Times New Roman" w:hAnsi="Times New Roman"/>
                <w:i w:val="1"/>
                <w:sz w:val="28"/>
              </w:rPr>
              <w:br/>
            </w:r>
            <w:r>
              <w:rPr>
                <w:rFonts w:ascii="Times New Roman" w:hAnsi="Times New Roman"/>
                <w:i w:val="1"/>
                <w:sz w:val="28"/>
              </w:rPr>
              <w:t>АО «Концерн Росэнергоатом»: поставляемое автомобильное топливо должно соответствовать требованиям качества и техническим условиям, изложенным в паспортах качества (сертификатах). При поставке автомобильного топлива необходимо предоставление паспортов качества. Вся документация должна быть на русском языке.</w:t>
            </w:r>
          </w:p>
        </w:tc>
      </w:tr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6. ТРЕБОВАНИЯ К ТРАНСПОРТИРОВАНИЮ</w:t>
            </w:r>
          </w:p>
        </w:tc>
      </w:tr>
      <w:tr>
        <w:trPr>
          <w:trHeight w:hRule="atLeast" w:val="886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0000000">
            <w:pPr>
              <w:widowControl w:val="0"/>
              <w:ind w:firstLine="646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 xml:space="preserve">Транспортировка топлива в г. </w:t>
            </w:r>
            <w:r>
              <w:rPr>
                <w:rFonts w:ascii="Times New Roman" w:hAnsi="Times New Roman"/>
                <w:i w:val="1"/>
                <w:sz w:val="28"/>
              </w:rPr>
              <w:t>Певек</w:t>
            </w:r>
            <w:r>
              <w:rPr>
                <w:rFonts w:ascii="Times New Roman" w:hAnsi="Times New Roman"/>
                <w:i w:val="1"/>
                <w:sz w:val="28"/>
              </w:rPr>
              <w:t>, Чукотского АО д</w:t>
            </w:r>
            <w:r>
              <w:rPr>
                <w:rFonts w:ascii="Times New Roman" w:hAnsi="Times New Roman"/>
                <w:i w:val="1"/>
                <w:sz w:val="28"/>
              </w:rPr>
              <w:t>о Места поставки и хранения, все транспортные расходы, расходы на уплату пошлин, иных сборов, страхование товара, расходы на изготовление и передачу товаросопроводительной и технической документации на русском языке, погрузку, хранение до передачи товара Покупателю в Месте поставки, транспортировка топлива до места его выборки, затраты на проведение оценки соответствия в форме подтверждения соответствия, иные расходы осуществляется силами и за счет средств Поставщика.</w:t>
            </w:r>
          </w:p>
        </w:tc>
      </w:tr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7. ТРЕБОВАНИЯ К ХРАНЕНИЮ</w:t>
            </w:r>
          </w:p>
        </w:tc>
      </w:tr>
      <w:tr>
        <w:trPr>
          <w:trHeight w:hRule="atLeast" w:val="431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2000000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Отсутствуют</w:t>
            </w:r>
          </w:p>
        </w:tc>
      </w:tr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8. ТРЕБОВАНИЯ К ОБЪЕМУ И/ИЛИ СРОКУ ПРЕДОСТАВЛЕНИЯ ГАРАНТИЙ</w:t>
            </w:r>
          </w:p>
        </w:tc>
      </w:tr>
      <w:tr>
        <w:trPr>
          <w:trHeight w:hRule="atLeast" w:val="711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4000000">
            <w:pPr>
              <w:widowControl w:val="0"/>
              <w:spacing w:line="276" w:lineRule="auto"/>
              <w:ind w:firstLine="646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Гарантия соответствия автомобильного топлива требованиям ГОСТ при соблюдении условий транспортирования и хранения.</w:t>
            </w:r>
          </w:p>
        </w:tc>
      </w:tr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9. ТРЕБОВАНИЯ К ОБСЛУЖИВАНИЮ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6000000">
            <w:pPr>
              <w:widowControl w:val="0"/>
              <w:ind w:firstLine="673" w:left="0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Требования отсутствуют.</w:t>
            </w:r>
          </w:p>
        </w:tc>
      </w:tr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10. ЭКОЛОГИЧЕСКИЕ ТРЕБОВАНИЯ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8000000">
            <w:pPr>
              <w:widowControl w:val="0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В соответствии с ГОСТ 32511-2013, ГОСТ 32513-2013 (или аналог).</w:t>
            </w:r>
          </w:p>
        </w:tc>
      </w:tr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11. ТРЕБОВАНИЯ ПО БЕЗОПАСНОСТИ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A000000">
            <w:pPr>
              <w:widowControl w:val="0"/>
              <w:ind w:firstLine="673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В соответствии с ГОСТ 32511-2013, ГОСТ 32513-2013 (или аналог).</w:t>
            </w:r>
          </w:p>
        </w:tc>
      </w:tr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12. ТРЕБОВАНИЯ К КАЧЕСТВУ</w:t>
            </w:r>
          </w:p>
        </w:tc>
      </w:tr>
      <w:tr>
        <w:trPr>
          <w:trHeight w:hRule="atLeast" w:val="644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00000">
            <w:pPr>
              <w:widowControl w:val="0"/>
              <w:ind w:firstLine="646" w:left="0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Автомобильное топливо должно соответствовать показателям, указанным в паспортах качества (сертификатах).</w:t>
            </w:r>
          </w:p>
        </w:tc>
      </w:tr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13. ДОПОЛНИТЕЛЬНЫЕ (ИНЫЕ) ТРЕБОВАНИЯ</w:t>
            </w:r>
          </w:p>
        </w:tc>
      </w:tr>
      <w:tr>
        <w:trPr>
          <w:trHeight w:hRule="atLeast" w:val="574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8E000000">
            <w:pPr>
              <w:widowControl w:val="0"/>
              <w:tabs>
                <w:tab w:leader="none" w:pos="284" w:val="left"/>
                <w:tab w:leader="none" w:pos="4677" w:val="center"/>
                <w:tab w:leader="none" w:pos="9355" w:val="right"/>
              </w:tabs>
              <w:ind w:firstLine="646" w:left="0" w:right="34"/>
              <w:jc w:val="both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Страной происхождения товара по настоящему ТЗ не должна быть страна, включенная в перечень, утвержденный распоряжением Правительства Российской федерации от 05.03.2022 № 430-р. «Об утверждении перечня иностранных государств и территорий, совершающих недружественные действия в отношении Российской Федерации, российских юридических и физических лиц».</w:t>
            </w:r>
          </w:p>
        </w:tc>
      </w:tr>
      <w:tr>
        <w:trPr>
          <w:trHeight w:hRule="atLeast" w:val="273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8F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14. ТРЕБОВАНИЯ К КОЛИЧЕСТВУ И СРОКУ (ПЕРИОДИЧНОСТИ) ПОСТАВКИ</w:t>
            </w:r>
          </w:p>
        </w:tc>
      </w:tr>
      <w:tr>
        <w:trPr>
          <w:trHeight w:hRule="atLeast" w:val="55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0000000">
            <w:pPr>
              <w:widowControl w:val="0"/>
              <w:ind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Весь объём продукции поставляется одной партией. Количество поставки:</w:t>
            </w:r>
          </w:p>
          <w:p w14:paraId="91000000">
            <w:pPr>
              <w:widowControl w:val="0"/>
              <w:ind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 xml:space="preserve">Топливо дизельное – </w:t>
            </w:r>
            <w:r>
              <w:rPr>
                <w:rFonts w:ascii="Times New Roman" w:hAnsi="Times New Roman"/>
                <w:i w:val="1"/>
                <w:sz w:val="28"/>
              </w:rPr>
              <w:t>120</w:t>
            </w:r>
            <w:r>
              <w:rPr>
                <w:rFonts w:ascii="Times New Roman" w:hAnsi="Times New Roman"/>
                <w:i w:val="1"/>
                <w:sz w:val="28"/>
              </w:rPr>
              <w:t xml:space="preserve"> тонн</w:t>
            </w:r>
            <w:r>
              <w:rPr>
                <w:rFonts w:ascii="Times New Roman" w:hAnsi="Times New Roman"/>
                <w:i w:val="1"/>
                <w:sz w:val="28"/>
              </w:rPr>
              <w:t>;</w:t>
            </w:r>
          </w:p>
          <w:p w14:paraId="92000000">
            <w:pPr>
              <w:widowControl w:val="0"/>
              <w:ind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 xml:space="preserve">Бензин АИ – 92 – </w:t>
            </w:r>
            <w:r>
              <w:rPr>
                <w:rFonts w:ascii="Times New Roman" w:hAnsi="Times New Roman"/>
                <w:i w:val="1"/>
                <w:sz w:val="28"/>
              </w:rPr>
              <w:t>6</w:t>
            </w:r>
            <w:r>
              <w:rPr>
                <w:rFonts w:ascii="Times New Roman" w:hAnsi="Times New Roman"/>
                <w:i w:val="1"/>
                <w:sz w:val="28"/>
              </w:rPr>
              <w:t xml:space="preserve"> тонн</w:t>
            </w:r>
            <w:r>
              <w:rPr>
                <w:rFonts w:ascii="Times New Roman" w:hAnsi="Times New Roman"/>
                <w:i w:val="1"/>
                <w:sz w:val="28"/>
              </w:rPr>
              <w:t>.</w:t>
            </w:r>
          </w:p>
          <w:p w14:paraId="93000000">
            <w:pPr>
              <w:widowControl w:val="0"/>
              <w:ind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Срок поставки: в течение 15 календарных дней с даты заключения договора (возможна досрочная поставка Продукции по согласованию Сторон).</w:t>
            </w:r>
          </w:p>
        </w:tc>
      </w:tr>
      <w:tr>
        <w:trPr>
          <w:trHeight w:hRule="atLeast" w:val="55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4000000">
            <w:pPr>
              <w:widowControl w:val="0"/>
              <w:ind/>
              <w:jc w:val="center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15. ТРЕБОВАНИЕ К ФОРМЕ ПРЕДСТАВЛЯЕМОЙ ИНФОРМАЦИИ</w:t>
            </w:r>
          </w:p>
        </w:tc>
      </w:tr>
      <w:tr>
        <w:trPr>
          <w:trHeight w:hRule="atLeast" w:val="55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5000000">
            <w:pPr>
              <w:widowControl w:val="0"/>
              <w:ind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i w:val="1"/>
                <w:sz w:val="28"/>
              </w:rPr>
              <w:t>Информация предоставляется на русском языке, в форме официальных писем по электронной почте, с последующей пересылкой оригиналов по почте.</w:t>
            </w:r>
          </w:p>
        </w:tc>
      </w:tr>
      <w:tr>
        <w:trPr>
          <w:trHeight w:hRule="atLeast" w:val="399"/>
        </w:trPr>
        <w:tc>
          <w:tcPr>
            <w:tcW w:type="dxa" w:w="9578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6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РАЗДЕЛ 16.</w:t>
            </w:r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 ПЕРЕЧЕНЬ ПРИЛОЖЕНИЙ</w:t>
            </w:r>
          </w:p>
        </w:tc>
      </w:tr>
      <w:tr>
        <w:trPr>
          <w:trHeight w:hRule="atLeast" w:val="399"/>
        </w:trPr>
        <w:tc>
          <w:tcPr>
            <w:tcW w:type="dxa" w:w="8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7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№ п/п</w:t>
            </w:r>
          </w:p>
        </w:tc>
        <w:tc>
          <w:tcPr>
            <w:tcW w:type="dxa" w:w="69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8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Сокращение</w:t>
            </w:r>
          </w:p>
        </w:tc>
        <w:tc>
          <w:tcPr>
            <w:tcW w:type="dxa" w:w="18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9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страниц</w:t>
            </w:r>
          </w:p>
        </w:tc>
      </w:tr>
      <w:tr>
        <w:trPr>
          <w:trHeight w:hRule="atLeast" w:val="399"/>
        </w:trPr>
        <w:tc>
          <w:tcPr>
            <w:tcW w:type="dxa" w:w="8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A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69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B000000">
            <w:pPr>
              <w:widowControl w:val="0"/>
              <w:spacing w:line="276" w:lineRule="auto"/>
              <w:ind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сравнительного анализа технических характеристик</w:t>
            </w:r>
          </w:p>
        </w:tc>
        <w:tc>
          <w:tcPr>
            <w:tcW w:type="dxa" w:w="18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C000000">
            <w:pPr>
              <w:widowControl w:val="0"/>
              <w:spacing w:line="276" w:lineRule="auto"/>
              <w:ind/>
              <w:jc w:val="center"/>
              <w:rPr>
                <w:rFonts w:ascii="Times New Roman" w:hAnsi="Times New Roman"/>
                <w:i w:val="1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</w:tr>
    </w:tbl>
    <w:p w14:paraId="9D000000">
      <w:pPr>
        <w:rPr>
          <w:sz w:val="24"/>
        </w:rPr>
      </w:pPr>
    </w:p>
    <w:p w14:paraId="9E000000">
      <w:pPr>
        <w:rPr>
          <w:sz w:val="24"/>
        </w:rPr>
      </w:pPr>
      <w:r>
        <w:rPr>
          <w:sz w:val="24"/>
        </w:rPr>
        <w:t>Составил:</w:t>
      </w:r>
    </w:p>
    <w:p w14:paraId="9F000000">
      <w:pPr>
        <w:rPr>
          <w:sz w:val="24"/>
        </w:rPr>
      </w:pPr>
    </w:p>
    <w:p w14:paraId="A0000000">
      <w:pPr>
        <w:rPr>
          <w:sz w:val="24"/>
        </w:rPr>
      </w:pPr>
      <w:r>
        <w:rPr>
          <w:sz w:val="24"/>
        </w:rPr>
        <w:t>Ведущий инженер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      </w:t>
      </w:r>
      <w:r>
        <w:rPr>
          <w:sz w:val="24"/>
        </w:rPr>
        <w:t xml:space="preserve"> В. С. Савенко</w:t>
      </w:r>
    </w:p>
    <w:p w14:paraId="A1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14:paraId="A2000000">
      <w:pPr>
        <w:rPr>
          <w:sz w:val="24"/>
        </w:rPr>
      </w:pPr>
    </w:p>
    <w:p w14:paraId="A3000000">
      <w:pPr>
        <w:rPr>
          <w:sz w:val="24"/>
        </w:rPr>
      </w:pPr>
      <w:r>
        <w:rPr>
          <w:sz w:val="24"/>
        </w:rPr>
        <w:t>Согласовано:</w:t>
      </w:r>
      <w:r>
        <w:rPr>
          <w:sz w:val="24"/>
        </w:rPr>
        <w:tab/>
      </w:r>
      <w:r>
        <w:rPr>
          <w:sz w:val="24"/>
        </w:rPr>
        <w:tab/>
      </w:r>
    </w:p>
    <w:p w14:paraId="A400000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14:paraId="A5000000">
      <w:pPr>
        <w:rPr>
          <w:sz w:val="24"/>
        </w:rPr>
      </w:pPr>
      <w:r>
        <w:rPr>
          <w:sz w:val="24"/>
        </w:rPr>
        <w:t>И. о. Начальника АТЦ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Е. Н. Гусев </w:t>
      </w:r>
    </w:p>
    <w:p w14:paraId="A6000000"/>
    <w:p w14:paraId="A7000000"/>
    <w:p w14:paraId="A8000000"/>
    <w:p w14:paraId="A9000000">
      <w:pPr>
        <w:tabs>
          <w:tab w:leader="none" w:pos="3720" w:val="left"/>
        </w:tabs>
        <w:ind/>
      </w:pPr>
    </w:p>
    <w:p w14:paraId="AA000000">
      <w:pPr>
        <w:tabs>
          <w:tab w:leader="none" w:pos="3720" w:val="left"/>
        </w:tabs>
        <w:ind/>
      </w:pPr>
    </w:p>
    <w:p w14:paraId="AB000000">
      <w:pPr>
        <w:tabs>
          <w:tab w:leader="none" w:pos="3720" w:val="left"/>
        </w:tabs>
        <w:ind/>
      </w:pPr>
    </w:p>
    <w:p w14:paraId="AC000000">
      <w:pPr>
        <w:tabs>
          <w:tab w:leader="none" w:pos="3720" w:val="left"/>
        </w:tabs>
        <w:ind/>
      </w:pPr>
    </w:p>
    <w:p w14:paraId="AD000000">
      <w:pPr>
        <w:tabs>
          <w:tab w:leader="none" w:pos="3720" w:val="left"/>
        </w:tabs>
        <w:ind/>
      </w:pPr>
    </w:p>
    <w:p w14:paraId="AE000000">
      <w:pPr>
        <w:tabs>
          <w:tab w:leader="none" w:pos="3720" w:val="left"/>
        </w:tabs>
        <w:ind/>
      </w:pPr>
    </w:p>
    <w:p w14:paraId="AF000000">
      <w:pPr>
        <w:tabs>
          <w:tab w:leader="none" w:pos="3720" w:val="left"/>
        </w:tabs>
        <w:ind/>
      </w:pPr>
    </w:p>
    <w:p w14:paraId="B0000000">
      <w:pPr>
        <w:tabs>
          <w:tab w:leader="none" w:pos="3720" w:val="left"/>
        </w:tabs>
        <w:ind/>
      </w:pPr>
    </w:p>
    <w:p w14:paraId="B1000000">
      <w:pPr>
        <w:tabs>
          <w:tab w:leader="none" w:pos="3720" w:val="left"/>
        </w:tabs>
        <w:ind/>
      </w:pPr>
    </w:p>
    <w:p w14:paraId="B2000000">
      <w:pPr>
        <w:tabs>
          <w:tab w:leader="none" w:pos="3720" w:val="left"/>
        </w:tabs>
        <w:ind/>
      </w:pPr>
    </w:p>
    <w:p w14:paraId="B3000000">
      <w:pPr>
        <w:tabs>
          <w:tab w:leader="none" w:pos="3720" w:val="left"/>
        </w:tabs>
        <w:ind/>
      </w:pPr>
    </w:p>
    <w:p w14:paraId="B4000000">
      <w:pPr>
        <w:tabs>
          <w:tab w:leader="none" w:pos="3720" w:val="left"/>
        </w:tabs>
        <w:ind/>
      </w:pPr>
    </w:p>
    <w:p w14:paraId="B5000000">
      <w:pPr>
        <w:tabs>
          <w:tab w:leader="none" w:pos="3720" w:val="left"/>
        </w:tabs>
        <w:ind/>
      </w:pPr>
    </w:p>
    <w:p w14:paraId="B6000000">
      <w:pPr>
        <w:sectPr>
          <w:headerReference r:id="rId2" w:type="first"/>
          <w:headerReference r:id="rId3" w:type="default"/>
          <w:pgSz w:h="16838" w:orient="portrait" w:w="11906"/>
          <w:pgMar w:bottom="993" w:footer="0" w:gutter="0" w:header="708" w:left="1418" w:right="707" w:top="1134"/>
          <w:titlePg/>
        </w:sectPr>
      </w:pPr>
    </w:p>
    <w:p w14:paraId="B7000000">
      <w:pPr>
        <w:tabs>
          <w:tab w:leader="none" w:pos="3720" w:val="left"/>
        </w:tabs>
        <w:ind/>
      </w:pPr>
    </w:p>
    <w:p w14:paraId="B8000000">
      <w:pPr>
        <w:spacing w:after="0"/>
        <w:ind/>
        <w:jc w:val="right"/>
      </w:pPr>
      <w:r>
        <w:t>Приложение 1</w:t>
      </w:r>
    </w:p>
    <w:p w14:paraId="B9000000">
      <w:pPr>
        <w:spacing w:after="0"/>
        <w:ind/>
        <w:jc w:val="right"/>
      </w:pPr>
      <w:r>
        <w:t>к Техническому заданию</w:t>
      </w:r>
    </w:p>
    <w:p w14:paraId="BA000000">
      <w:pPr>
        <w:spacing w:after="280"/>
        <w:ind/>
        <w:jc w:val="center"/>
        <w:rPr>
          <w:b w:val="1"/>
        </w:rPr>
      </w:pPr>
    </w:p>
    <w:p w14:paraId="BB000000">
      <w:pPr>
        <w:spacing w:after="280"/>
        <w:ind/>
        <w:jc w:val="center"/>
        <w:rPr>
          <w:b w:val="1"/>
        </w:rPr>
      </w:pPr>
      <w:r>
        <w:rPr>
          <w:b w:val="1"/>
        </w:rPr>
        <w:t>Форма сравнительного анализа технических характеристик</w:t>
      </w:r>
    </w:p>
    <w:p w14:paraId="BC000000">
      <w:pPr>
        <w:spacing w:after="280"/>
        <w:ind/>
        <w:jc w:val="center"/>
        <w:rPr>
          <w:b w:val="1"/>
          <w:sz w:val="28"/>
        </w:rPr>
      </w:pPr>
      <w:r>
        <w:rPr>
          <w:b w:val="1"/>
          <w:sz w:val="28"/>
        </w:rPr>
        <w:t>Сравнительный анализ технических характеристик</w:t>
      </w:r>
    </w:p>
    <w:tbl>
      <w:tblPr>
        <w:tblStyle w:val="Style_2"/>
        <w:tblInd w:type="dxa" w:w="-34"/>
        <w:tblLayout w:type="fixed"/>
      </w:tblPr>
      <w:tblGrid>
        <w:gridCol w:w="2411"/>
        <w:gridCol w:w="1293"/>
        <w:gridCol w:w="2054"/>
        <w:gridCol w:w="1341"/>
        <w:gridCol w:w="2682"/>
      </w:tblGrid>
      <w:tr>
        <w:tc>
          <w:tcPr>
            <w:tcW w:type="dxa" w:w="3704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D000000">
            <w:pPr>
              <w:widowControl w:val="0"/>
              <w:ind/>
              <w:jc w:val="center"/>
              <w:rPr>
                <w:sz w:val="28"/>
              </w:rPr>
            </w:pPr>
            <w:r>
              <w:rPr>
                <w:sz w:val="28"/>
              </w:rPr>
              <w:t>Предмет закупки</w:t>
            </w:r>
          </w:p>
          <w:p w14:paraId="BE000000">
            <w:pPr>
              <w:widowControl w:val="0"/>
              <w:ind/>
              <w:jc w:val="center"/>
              <w:rPr>
                <w:sz w:val="28"/>
              </w:rPr>
            </w:pPr>
            <w:r>
              <w:rPr>
                <w:sz w:val="28"/>
              </w:rPr>
              <w:t>ООО «</w:t>
            </w:r>
            <w:r>
              <w:rPr>
                <w:sz w:val="28"/>
              </w:rPr>
              <w:t>Арктик Атом-Сервис</w:t>
            </w:r>
            <w:r>
              <w:rPr>
                <w:sz w:val="28"/>
              </w:rPr>
              <w:t xml:space="preserve">» г. </w:t>
            </w:r>
            <w:r>
              <w:rPr>
                <w:sz w:val="28"/>
              </w:rPr>
              <w:t>Певек</w:t>
            </w:r>
          </w:p>
        </w:tc>
        <w:tc>
          <w:tcPr>
            <w:tcW w:type="dxa" w:w="3395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BF000000">
            <w:pPr>
              <w:widowControl w:val="0"/>
              <w:ind/>
              <w:jc w:val="center"/>
              <w:rPr>
                <w:sz w:val="28"/>
              </w:rPr>
            </w:pPr>
            <w:r>
              <w:rPr>
                <w:sz w:val="28"/>
              </w:rPr>
              <w:t>Аналог/эквивалент Поставщика</w:t>
            </w:r>
          </w:p>
        </w:tc>
        <w:tc>
          <w:tcPr>
            <w:tcW w:type="dxa" w:w="2682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0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Подтверждающие документы, обосновывающие показатели аналога/эквивалента</w:t>
            </w:r>
          </w:p>
        </w:tc>
      </w:tr>
      <w:tr>
        <w:tc>
          <w:tcPr>
            <w:tcW w:type="dxa" w:w="3704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1000000">
            <w:pPr>
              <w:tabs>
                <w:tab w:leader="none" w:pos="4890" w:val="center"/>
                <w:tab w:leader="none" w:pos="8959" w:val="left"/>
              </w:tabs>
              <w:ind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Поставка бензина и дизельного топлива </w:t>
            </w:r>
            <w:r>
              <w:rPr>
                <w:sz w:val="28"/>
              </w:rPr>
              <w:t xml:space="preserve">г. </w:t>
            </w:r>
            <w:r>
              <w:rPr>
                <w:sz w:val="28"/>
              </w:rPr>
              <w:t>Певек</w:t>
            </w:r>
            <w:r>
              <w:rPr>
                <w:sz w:val="28"/>
              </w:rPr>
              <w:t xml:space="preserve"> </w:t>
            </w:r>
          </w:p>
          <w:p w14:paraId="C2000000">
            <w:pPr>
              <w:ind/>
              <w:jc w:val="center"/>
              <w:rPr>
                <w:sz w:val="28"/>
              </w:rPr>
            </w:pPr>
            <w:r>
              <w:rPr>
                <w:sz w:val="28"/>
              </w:rPr>
              <w:t xml:space="preserve"> для нужд </w:t>
            </w:r>
            <w:r>
              <w:rPr>
                <w:sz w:val="28"/>
              </w:rPr>
              <w:t xml:space="preserve">ООО </w:t>
            </w:r>
          </w:p>
          <w:p w14:paraId="C3000000">
            <w:pPr>
              <w:ind/>
              <w:jc w:val="center"/>
              <w:rPr>
                <w:sz w:val="28"/>
              </w:rPr>
            </w:pPr>
            <w:r>
              <w:rPr>
                <w:sz w:val="28"/>
              </w:rPr>
              <w:t>«Арктик Атом-Сервис»</w:t>
            </w:r>
          </w:p>
        </w:tc>
        <w:tc>
          <w:tcPr>
            <w:tcW w:type="dxa" w:w="3395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4000000">
            <w:pPr>
              <w:widowControl w:val="0"/>
              <w:ind/>
              <w:jc w:val="center"/>
              <w:rPr>
                <w:sz w:val="28"/>
              </w:rPr>
            </w:pPr>
          </w:p>
        </w:tc>
        <w:tc>
          <w:tcPr>
            <w:tcW w:type="dxa" w:w="268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c>
          <w:tcPr>
            <w:tcW w:type="dxa" w:w="2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5000000">
            <w:pPr>
              <w:widowControl w:val="0"/>
              <w:ind/>
              <w:jc w:val="center"/>
              <w:rPr>
                <w:sz w:val="28"/>
              </w:rPr>
            </w:pPr>
            <w:r>
              <w:rPr>
                <w:sz w:val="28"/>
              </w:rPr>
              <w:t>наименование показателя</w:t>
            </w:r>
          </w:p>
        </w:tc>
        <w:tc>
          <w:tcPr>
            <w:tcW w:type="dxa" w:w="12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6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показатель</w:t>
            </w:r>
          </w:p>
        </w:tc>
        <w:tc>
          <w:tcPr>
            <w:tcW w:type="dxa" w:w="20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7000000">
            <w:pPr>
              <w:widowControl w:val="0"/>
              <w:ind/>
              <w:jc w:val="center"/>
              <w:rPr>
                <w:sz w:val="28"/>
              </w:rPr>
            </w:pPr>
            <w:r>
              <w:rPr>
                <w:sz w:val="28"/>
              </w:rPr>
              <w:t>наименование показателя</w:t>
            </w:r>
          </w:p>
        </w:tc>
        <w:tc>
          <w:tcPr>
            <w:tcW w:type="dxa" w:w="13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8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показатель</w:t>
            </w:r>
          </w:p>
        </w:tc>
        <w:tc>
          <w:tcPr>
            <w:tcW w:type="dxa" w:w="268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279"/>
        </w:trPr>
        <w:tc>
          <w:tcPr>
            <w:tcW w:type="dxa" w:w="2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9000000">
            <w:pPr>
              <w:widowControl w:val="0"/>
              <w:ind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type="dxa" w:w="12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A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type="dxa" w:w="20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B000000">
            <w:pPr>
              <w:widowControl w:val="0"/>
              <w:ind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type="dxa" w:w="13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C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type="dxa" w:w="26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D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</w:tr>
      <w:tr>
        <w:tc>
          <w:tcPr>
            <w:tcW w:type="dxa" w:w="2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E000000">
            <w:pPr>
              <w:widowControl w:val="0"/>
              <w:ind/>
              <w:jc w:val="center"/>
              <w:rPr>
                <w:sz w:val="28"/>
              </w:rPr>
            </w:pPr>
          </w:p>
        </w:tc>
        <w:tc>
          <w:tcPr>
            <w:tcW w:type="dxa" w:w="12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CF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  <w:tc>
          <w:tcPr>
            <w:tcW w:type="dxa" w:w="20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0000000">
            <w:pPr>
              <w:widowControl w:val="0"/>
              <w:ind/>
              <w:jc w:val="center"/>
              <w:rPr>
                <w:sz w:val="28"/>
              </w:rPr>
            </w:pPr>
          </w:p>
        </w:tc>
        <w:tc>
          <w:tcPr>
            <w:tcW w:type="dxa" w:w="13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1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  <w:tc>
          <w:tcPr>
            <w:tcW w:type="dxa" w:w="26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2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</w:tr>
      <w:tr>
        <w:tc>
          <w:tcPr>
            <w:tcW w:type="dxa" w:w="2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3000000">
            <w:pPr>
              <w:widowControl w:val="0"/>
              <w:ind/>
              <w:jc w:val="center"/>
              <w:rPr>
                <w:sz w:val="28"/>
              </w:rPr>
            </w:pPr>
          </w:p>
        </w:tc>
        <w:tc>
          <w:tcPr>
            <w:tcW w:type="dxa" w:w="12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4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  <w:tc>
          <w:tcPr>
            <w:tcW w:type="dxa" w:w="20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5000000">
            <w:pPr>
              <w:widowControl w:val="0"/>
              <w:ind/>
              <w:jc w:val="center"/>
              <w:rPr>
                <w:sz w:val="28"/>
              </w:rPr>
            </w:pPr>
          </w:p>
        </w:tc>
        <w:tc>
          <w:tcPr>
            <w:tcW w:type="dxa" w:w="13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6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  <w:tc>
          <w:tcPr>
            <w:tcW w:type="dxa" w:w="26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7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</w:tr>
      <w:tr>
        <w:tc>
          <w:tcPr>
            <w:tcW w:type="dxa" w:w="2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8000000">
            <w:pPr>
              <w:widowControl w:val="0"/>
              <w:ind/>
              <w:jc w:val="center"/>
              <w:rPr>
                <w:sz w:val="28"/>
              </w:rPr>
            </w:pPr>
          </w:p>
        </w:tc>
        <w:tc>
          <w:tcPr>
            <w:tcW w:type="dxa" w:w="12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9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  <w:tc>
          <w:tcPr>
            <w:tcW w:type="dxa" w:w="20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A000000">
            <w:pPr>
              <w:widowControl w:val="0"/>
              <w:ind/>
              <w:jc w:val="center"/>
              <w:rPr>
                <w:sz w:val="28"/>
              </w:rPr>
            </w:pPr>
          </w:p>
        </w:tc>
        <w:tc>
          <w:tcPr>
            <w:tcW w:type="dxa" w:w="13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B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  <w:tc>
          <w:tcPr>
            <w:tcW w:type="dxa" w:w="26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C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</w:tr>
      <w:tr>
        <w:tc>
          <w:tcPr>
            <w:tcW w:type="dxa" w:w="2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D000000">
            <w:pPr>
              <w:widowControl w:val="0"/>
              <w:ind/>
              <w:jc w:val="center"/>
              <w:rPr>
                <w:sz w:val="28"/>
              </w:rPr>
            </w:pPr>
          </w:p>
        </w:tc>
        <w:tc>
          <w:tcPr>
            <w:tcW w:type="dxa" w:w="12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E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  <w:tc>
          <w:tcPr>
            <w:tcW w:type="dxa" w:w="20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DF000000">
            <w:pPr>
              <w:widowControl w:val="0"/>
              <w:ind/>
              <w:jc w:val="center"/>
              <w:rPr>
                <w:sz w:val="28"/>
              </w:rPr>
            </w:pPr>
          </w:p>
        </w:tc>
        <w:tc>
          <w:tcPr>
            <w:tcW w:type="dxa" w:w="13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0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  <w:tc>
          <w:tcPr>
            <w:tcW w:type="dxa" w:w="26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1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</w:tr>
      <w:tr>
        <w:tc>
          <w:tcPr>
            <w:tcW w:type="dxa" w:w="241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2000000">
            <w:pPr>
              <w:widowControl w:val="0"/>
              <w:ind/>
              <w:jc w:val="center"/>
              <w:rPr>
                <w:sz w:val="28"/>
              </w:rPr>
            </w:pPr>
          </w:p>
        </w:tc>
        <w:tc>
          <w:tcPr>
            <w:tcW w:type="dxa" w:w="12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3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  <w:tc>
          <w:tcPr>
            <w:tcW w:type="dxa" w:w="205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4000000">
            <w:pPr>
              <w:widowControl w:val="0"/>
              <w:ind/>
              <w:jc w:val="center"/>
              <w:rPr>
                <w:sz w:val="28"/>
              </w:rPr>
            </w:pPr>
          </w:p>
        </w:tc>
        <w:tc>
          <w:tcPr>
            <w:tcW w:type="dxa" w:w="134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5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  <w:tc>
          <w:tcPr>
            <w:tcW w:type="dxa" w:w="268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E6000000">
            <w:pPr>
              <w:widowControl w:val="0"/>
              <w:ind w:firstLine="0" w:left="-113" w:right="-113"/>
              <w:jc w:val="center"/>
              <w:rPr>
                <w:sz w:val="28"/>
              </w:rPr>
            </w:pPr>
          </w:p>
        </w:tc>
      </w:tr>
    </w:tbl>
    <w:p w14:paraId="E7000000">
      <w:pPr>
        <w:tabs>
          <w:tab w:leader="none" w:pos="1245" w:val="left"/>
        </w:tabs>
        <w:spacing w:after="280"/>
        <w:ind/>
        <w:rPr>
          <w:sz w:val="28"/>
        </w:rPr>
      </w:pPr>
    </w:p>
    <w:p w14:paraId="E8000000">
      <w:pPr>
        <w:tabs>
          <w:tab w:leader="none" w:pos="426" w:val="left"/>
        </w:tabs>
        <w:ind w:firstLine="459" w:left="0"/>
        <w:jc w:val="both"/>
        <w:rPr>
          <w:sz w:val="28"/>
        </w:rPr>
      </w:pPr>
      <w:r>
        <w:rPr>
          <w:sz w:val="28"/>
        </w:rPr>
        <w:t xml:space="preserve">* </w:t>
      </w:r>
      <w:r>
        <w:rPr>
          <w:i w:val="1"/>
          <w:sz w:val="28"/>
        </w:rPr>
        <w:t xml:space="preserve">В разделе 1 технического задания устанавливаются параметры объекта закупки продукции (товара). Указываются функциональные, технические, качественные характеристики и эксплуатационные (при необходимости), </w:t>
      </w:r>
      <w:r>
        <w:rPr>
          <w:b w:val="1"/>
          <w:i w:val="1"/>
          <w:sz w:val="28"/>
        </w:rPr>
        <w:t>максимальные и минимальные значения показателей указанных параметров.</w:t>
      </w:r>
    </w:p>
    <w:p w14:paraId="E9000000">
      <w:pPr>
        <w:tabs>
          <w:tab w:leader="none" w:pos="426" w:val="left"/>
        </w:tabs>
        <w:ind w:firstLine="709" w:left="0"/>
        <w:jc w:val="both"/>
        <w:rPr>
          <w:sz w:val="28"/>
        </w:rPr>
      </w:pPr>
      <w:r>
        <w:rPr>
          <w:i w:val="1"/>
          <w:sz w:val="28"/>
        </w:rPr>
        <w:t xml:space="preserve">Указание конкретных показателей продукции с </w:t>
      </w:r>
      <w:r>
        <w:rPr>
          <w:b w:val="1"/>
          <w:i w:val="1"/>
          <w:sz w:val="28"/>
        </w:rPr>
        <w:t xml:space="preserve">максимальными и минимальными значениями (допустимыми) </w:t>
      </w:r>
      <w:r>
        <w:rPr>
          <w:i w:val="1"/>
          <w:sz w:val="28"/>
        </w:rPr>
        <w:t>необходимо, для определения эквивалентности поставляемой продукции, указанной в данном техническом задании.</w:t>
      </w:r>
    </w:p>
    <w:p w14:paraId="EA000000">
      <w:pPr>
        <w:spacing w:after="280"/>
        <w:ind w:firstLine="709" w:left="0"/>
        <w:jc w:val="both"/>
        <w:rPr>
          <w:i w:val="1"/>
          <w:sz w:val="28"/>
        </w:rPr>
      </w:pPr>
      <w:r>
        <w:rPr>
          <w:i w:val="1"/>
          <w:sz w:val="28"/>
        </w:rPr>
        <w:t xml:space="preserve">Технические, функциональные, качественные и иные характеристики продукции, предлагаемой </w:t>
      </w:r>
      <w:r>
        <w:rPr>
          <w:i w:val="1"/>
          <w:sz w:val="28"/>
        </w:rPr>
        <w:t>в качестве аналога (эквивалента),</w:t>
      </w:r>
      <w:r>
        <w:rPr>
          <w:i w:val="1"/>
          <w:sz w:val="28"/>
        </w:rPr>
        <w:t xml:space="preserve"> должны соответствовать параметрам и показателям продукции, указанным в техническом задании.</w:t>
      </w:r>
    </w:p>
    <w:p w14:paraId="EB000000">
      <w:pPr>
        <w:spacing w:line="276" w:lineRule="auto"/>
        <w:ind/>
        <w:jc w:val="right"/>
      </w:pPr>
    </w:p>
    <w:p w14:paraId="EC000000">
      <w:pPr>
        <w:spacing w:line="276" w:lineRule="auto"/>
        <w:ind/>
      </w:pPr>
    </w:p>
    <w:sectPr>
      <w:headerReference r:id="rId4" w:type="default"/>
      <w:type w:val="nextPage"/>
      <w:pgSz w:h="16838" w:orient="portrait" w:w="11906"/>
      <w:pgMar w:bottom="993" w:footer="0" w:gutter="0" w:header="708" w:left="1418" w:right="707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ind/>
      <w:jc w:val="center"/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1"/>
      <w:ind/>
      <w:jc w:val="center"/>
    </w:pPr>
  </w:p>
</w:hdr>
</file>

<file path=word/header3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pStyle w:val="Style_1"/>
    </w:pPr>
  </w:p>
</w:hdr>
</file>

<file path=word/header4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</w:pPr>
  </w:p>
</w:hdr>
</file>

<file path=word/header5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5000000">
    <w:pPr>
      <w:pStyle w:val="Style_1"/>
    </w:pPr>
  </w:p>
  <w:p w14:paraId="06000000">
    <w:pPr>
      <w:pStyle w:val="Style_1"/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rPr>
      <w:rFonts w:ascii="Times New Roman" w:hAnsi="Times New Roman"/>
      <w:sz w:val="28"/>
    </w:rPr>
  </w:style>
  <w:style w:default="1" w:styleId="Style_3_ch" w:type="character">
    <w:name w:val="Normal"/>
    <w:link w:val="Style_3"/>
    <w:rPr>
      <w:rFonts w:ascii="Times New Roman" w:hAnsi="Times New Roman"/>
      <w:sz w:val="28"/>
    </w:rPr>
  </w:style>
  <w:style w:styleId="Style_4" w:type="paragraph">
    <w:name w:val="toc 2"/>
    <w:next w:val="Style_3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3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No Spacing"/>
    <w:link w:val="Style_6_ch"/>
    <w:rPr>
      <w:rFonts w:asciiTheme="minorAscii" w:hAnsiTheme="minorHAnsi"/>
      <w:sz w:val="22"/>
    </w:rPr>
  </w:style>
  <w:style w:styleId="Style_6_ch" w:type="character">
    <w:name w:val="No Spacing"/>
    <w:link w:val="Style_6"/>
    <w:rPr>
      <w:rFonts w:asciiTheme="minorAscii" w:hAnsiTheme="minorHAnsi"/>
      <w:sz w:val="22"/>
    </w:rPr>
  </w:style>
  <w:style w:styleId="Style_7" w:type="paragraph">
    <w:name w:val="toc 6"/>
    <w:next w:val="Style_3"/>
    <w:link w:val="Style_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3"/>
    <w:link w:val="Style_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Верхний и нижний колонтитулы"/>
    <w:basedOn w:val="Style_3"/>
    <w:link w:val="Style_9_ch"/>
  </w:style>
  <w:style w:styleId="Style_9_ch" w:type="character">
    <w:name w:val="Верхний и нижний колонтитулы"/>
    <w:basedOn w:val="Style_3_ch"/>
    <w:link w:val="Style_9"/>
  </w:style>
  <w:style w:styleId="Style_10" w:type="paragraph">
    <w:name w:val="index heading"/>
    <w:basedOn w:val="Style_3"/>
    <w:link w:val="Style_10_ch"/>
    <w:rPr>
      <w:rFonts w:ascii="PT Astra Serif" w:hAnsi="PT Astra Serif"/>
    </w:rPr>
  </w:style>
  <w:style w:styleId="Style_10_ch" w:type="character">
    <w:name w:val="index heading"/>
    <w:basedOn w:val="Style_3_ch"/>
    <w:link w:val="Style_10"/>
    <w:rPr>
      <w:rFonts w:ascii="PT Astra Serif" w:hAnsi="PT Astra Serif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next w:val="Style_3"/>
    <w:link w:val="Style_12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2_ch" w:type="character">
    <w:name w:val="heading 3"/>
    <w:link w:val="Style_12"/>
    <w:rPr>
      <w:rFonts w:ascii="XO Thames" w:hAnsi="XO Thames"/>
      <w:b w:val="1"/>
      <w:sz w:val="26"/>
    </w:rPr>
  </w:style>
  <w:style w:styleId="Style_13" w:type="paragraph">
    <w:name w:val="ConsPlusNonformat"/>
    <w:link w:val="Style_13_ch"/>
    <w:pPr>
      <w:widowControl w:val="0"/>
      <w:ind/>
    </w:pPr>
    <w:rPr>
      <w:rFonts w:ascii="Courier New" w:hAnsi="Courier New"/>
      <w:sz w:val="28"/>
    </w:rPr>
  </w:style>
  <w:style w:styleId="Style_13_ch" w:type="character">
    <w:name w:val="ConsPlusNonformat"/>
    <w:link w:val="Style_13"/>
    <w:rPr>
      <w:rFonts w:ascii="Courier New" w:hAnsi="Courier New"/>
      <w:sz w:val="28"/>
    </w:rPr>
  </w:style>
  <w:style w:styleId="Style_14" w:type="paragraph">
    <w:name w:val="List Paragraph"/>
    <w:basedOn w:val="Style_3"/>
    <w:link w:val="Style_14_ch"/>
    <w:pPr>
      <w:ind w:firstLine="0" w:left="720"/>
      <w:contextualSpacing w:val="1"/>
    </w:pPr>
    <w:rPr>
      <w:sz w:val="24"/>
    </w:rPr>
  </w:style>
  <w:style w:styleId="Style_14_ch" w:type="character">
    <w:name w:val="List Paragraph"/>
    <w:basedOn w:val="Style_3_ch"/>
    <w:link w:val="Style_14"/>
    <w:rPr>
      <w:sz w:val="24"/>
    </w:rPr>
  </w:style>
  <w:style w:styleId="Style_15" w:type="paragraph">
    <w:name w:val="Название объекта1"/>
    <w:basedOn w:val="Style_3"/>
    <w:link w:val="Style_15_ch"/>
    <w:pPr>
      <w:spacing w:after="120" w:before="120"/>
      <w:ind/>
    </w:pPr>
    <w:rPr>
      <w:rFonts w:ascii="PT Astra Serif" w:hAnsi="PT Astra Serif"/>
      <w:i w:val="1"/>
      <w:sz w:val="24"/>
    </w:rPr>
  </w:style>
  <w:style w:styleId="Style_15_ch" w:type="character">
    <w:name w:val="Название объекта1"/>
    <w:basedOn w:val="Style_3_ch"/>
    <w:link w:val="Style_15"/>
    <w:rPr>
      <w:rFonts w:ascii="PT Astra Serif" w:hAnsi="PT Astra Serif"/>
      <w:i w:val="1"/>
      <w:sz w:val="24"/>
    </w:rPr>
  </w:style>
  <w:style w:styleId="Style_16" w:type="paragraph">
    <w:name w:val="Нижний колонтитул Знак"/>
    <w:basedOn w:val="Style_17"/>
    <w:link w:val="Style_16_ch"/>
    <w:rPr>
      <w:rFonts w:ascii="Times New Roman" w:hAnsi="Times New Roman"/>
      <w:sz w:val="28"/>
    </w:rPr>
  </w:style>
  <w:style w:styleId="Style_16_ch" w:type="character">
    <w:name w:val="Нижний колонтитул Знак"/>
    <w:basedOn w:val="Style_17_ch"/>
    <w:link w:val="Style_16"/>
    <w:rPr>
      <w:rFonts w:ascii="Times New Roman" w:hAnsi="Times New Roman"/>
      <w:sz w:val="28"/>
    </w:rPr>
  </w:style>
  <w:style w:styleId="Style_18" w:type="paragraph">
    <w:name w:val="toc 3"/>
    <w:next w:val="Style_3"/>
    <w:link w:val="Style_1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8_ch" w:type="character">
    <w:name w:val="toc 3"/>
    <w:link w:val="Style_18"/>
    <w:rPr>
      <w:rFonts w:ascii="XO Thames" w:hAnsi="XO Thames"/>
      <w:sz w:val="28"/>
    </w:rPr>
  </w:style>
  <w:style w:styleId="Style_19" w:type="paragraph">
    <w:name w:val="Гиперссылка1"/>
    <w:basedOn w:val="Style_17"/>
    <w:link w:val="Style_19_ch"/>
    <w:rPr>
      <w:color w:val="0000FF"/>
      <w:u w:val="single"/>
    </w:rPr>
  </w:style>
  <w:style w:styleId="Style_19_ch" w:type="character">
    <w:name w:val="Гиперссылка1"/>
    <w:basedOn w:val="Style_17_ch"/>
    <w:link w:val="Style_19"/>
    <w:rPr>
      <w:color w:val="0000FF"/>
      <w:u w:val="single"/>
    </w:rPr>
  </w:style>
  <w:style w:styleId="Style_1" w:type="paragraph">
    <w:name w:val="header"/>
    <w:basedOn w:val="Style_3"/>
    <w:link w:val="Style_1_ch"/>
    <w:pPr>
      <w:tabs>
        <w:tab w:leader="none" w:pos="4677" w:val="center"/>
        <w:tab w:leader="none" w:pos="9355" w:val="right"/>
      </w:tabs>
      <w:ind/>
    </w:pPr>
  </w:style>
  <w:style w:styleId="Style_1_ch" w:type="character">
    <w:name w:val="header"/>
    <w:basedOn w:val="Style_3_ch"/>
    <w:link w:val="Style_1"/>
  </w:style>
  <w:style w:styleId="Style_20" w:type="paragraph">
    <w:name w:val="annotation reference"/>
    <w:basedOn w:val="Style_17"/>
    <w:link w:val="Style_20_ch"/>
    <w:rPr>
      <w:sz w:val="16"/>
    </w:rPr>
  </w:style>
  <w:style w:styleId="Style_20_ch" w:type="character">
    <w:name w:val="annotation reference"/>
    <w:basedOn w:val="Style_17_ch"/>
    <w:link w:val="Style_20"/>
    <w:rPr>
      <w:sz w:val="16"/>
    </w:rPr>
  </w:style>
  <w:style w:styleId="Style_21" w:type="paragraph">
    <w:name w:val="footer"/>
    <w:basedOn w:val="Style_3"/>
    <w:link w:val="Style_21_ch"/>
    <w:pPr>
      <w:tabs>
        <w:tab w:leader="none" w:pos="4677" w:val="center"/>
        <w:tab w:leader="none" w:pos="9355" w:val="right"/>
      </w:tabs>
      <w:ind/>
    </w:pPr>
  </w:style>
  <w:style w:styleId="Style_21_ch" w:type="character">
    <w:name w:val="footer"/>
    <w:basedOn w:val="Style_3_ch"/>
    <w:link w:val="Style_21"/>
  </w:style>
  <w:style w:styleId="Style_22" w:type="paragraph">
    <w:name w:val="caption"/>
    <w:basedOn w:val="Style_3"/>
    <w:link w:val="Style_22_ch"/>
    <w:pPr>
      <w:spacing w:after="120" w:before="120"/>
      <w:ind/>
    </w:pPr>
    <w:rPr>
      <w:rFonts w:ascii="PT Astra Serif" w:hAnsi="PT Astra Serif"/>
      <w:i w:val="1"/>
      <w:sz w:val="24"/>
    </w:rPr>
  </w:style>
  <w:style w:styleId="Style_22_ch" w:type="character">
    <w:name w:val="caption"/>
    <w:basedOn w:val="Style_3_ch"/>
    <w:link w:val="Style_22"/>
    <w:rPr>
      <w:rFonts w:ascii="PT Astra Serif" w:hAnsi="PT Astra Serif"/>
      <w:i w:val="1"/>
      <w:sz w:val="24"/>
    </w:rPr>
  </w:style>
  <w:style w:styleId="Style_23" w:type="paragraph">
    <w:name w:val="ConsPlusNormal"/>
    <w:link w:val="Style_23_ch"/>
    <w:pPr>
      <w:widowControl w:val="0"/>
      <w:ind/>
    </w:pPr>
    <w:rPr>
      <w:sz w:val="28"/>
    </w:rPr>
  </w:style>
  <w:style w:styleId="Style_23_ch" w:type="character">
    <w:name w:val="ConsPlusNormal"/>
    <w:link w:val="Style_23"/>
    <w:rPr>
      <w:sz w:val="28"/>
    </w:rPr>
  </w:style>
  <w:style w:styleId="Style_24" w:type="paragraph">
    <w:name w:val="heading 5"/>
    <w:next w:val="Style_3"/>
    <w:link w:val="Style_24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4_ch" w:type="character">
    <w:name w:val="heading 5"/>
    <w:link w:val="Style_24"/>
    <w:rPr>
      <w:rFonts w:ascii="XO Thames" w:hAnsi="XO Thames"/>
      <w:b w:val="1"/>
      <w:sz w:val="22"/>
    </w:rPr>
  </w:style>
  <w:style w:styleId="Style_25" w:type="paragraph">
    <w:name w:val="List"/>
    <w:basedOn w:val="Style_26"/>
    <w:link w:val="Style_25_ch"/>
    <w:rPr>
      <w:rFonts w:ascii="PT Astra Serif" w:hAnsi="PT Astra Serif"/>
    </w:rPr>
  </w:style>
  <w:style w:styleId="Style_25_ch" w:type="character">
    <w:name w:val="List"/>
    <w:basedOn w:val="Style_26_ch"/>
    <w:link w:val="Style_25"/>
    <w:rPr>
      <w:rFonts w:ascii="PT Astra Serif" w:hAnsi="PT Astra Serif"/>
    </w:rPr>
  </w:style>
  <w:style w:styleId="Style_27" w:type="paragraph">
    <w:name w:val="heading 1"/>
    <w:next w:val="Style_3"/>
    <w:link w:val="Style_27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27_ch" w:type="character">
    <w:name w:val="heading 1"/>
    <w:link w:val="Style_27"/>
    <w:rPr>
      <w:rFonts w:ascii="XO Thames" w:hAnsi="XO Thames"/>
      <w:b w:val="1"/>
      <w:sz w:val="32"/>
    </w:rPr>
  </w:style>
  <w:style w:styleId="Style_28" w:type="paragraph">
    <w:name w:val="Заголовок таблицы"/>
    <w:basedOn w:val="Style_29"/>
    <w:link w:val="Style_28_ch"/>
    <w:pPr>
      <w:ind/>
      <w:jc w:val="center"/>
    </w:pPr>
    <w:rPr>
      <w:b w:val="1"/>
    </w:rPr>
  </w:style>
  <w:style w:styleId="Style_28_ch" w:type="character">
    <w:name w:val="Заголовок таблицы"/>
    <w:basedOn w:val="Style_29_ch"/>
    <w:link w:val="Style_28"/>
    <w:rPr>
      <w:b w:val="1"/>
    </w:rPr>
  </w:style>
  <w:style w:styleId="Style_30" w:type="paragraph">
    <w:name w:val="Hyperlink"/>
    <w:link w:val="Style_30_ch"/>
    <w:rPr>
      <w:color w:val="0000FF"/>
      <w:u w:val="single"/>
    </w:rPr>
  </w:style>
  <w:style w:styleId="Style_30_ch" w:type="character">
    <w:name w:val="Hyperlink"/>
    <w:link w:val="Style_30"/>
    <w:rPr>
      <w:color w:val="0000FF"/>
      <w:u w:val="single"/>
    </w:rPr>
  </w:style>
  <w:style w:styleId="Style_31" w:type="paragraph">
    <w:name w:val="Footnote"/>
    <w:link w:val="Style_31_ch"/>
    <w:pPr>
      <w:ind w:firstLine="851" w:left="0"/>
      <w:jc w:val="both"/>
    </w:pPr>
    <w:rPr>
      <w:rFonts w:ascii="XO Thames" w:hAnsi="XO Thames"/>
      <w:sz w:val="22"/>
    </w:rPr>
  </w:style>
  <w:style w:styleId="Style_31_ch" w:type="character">
    <w:name w:val="Footnote"/>
    <w:link w:val="Style_31"/>
    <w:rPr>
      <w:rFonts w:ascii="XO Thames" w:hAnsi="XO Thames"/>
      <w:sz w:val="22"/>
    </w:rPr>
  </w:style>
  <w:style w:styleId="Style_32" w:type="paragraph">
    <w:name w:val="toc 1"/>
    <w:next w:val="Style_3"/>
    <w:link w:val="Style_3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2_ch" w:type="character">
    <w:name w:val="toc 1"/>
    <w:link w:val="Style_32"/>
    <w:rPr>
      <w:rFonts w:ascii="XO Thames" w:hAnsi="XO Thames"/>
      <w:b w:val="1"/>
      <w:sz w:val="28"/>
    </w:rPr>
  </w:style>
  <w:style w:styleId="Style_33" w:type="paragraph">
    <w:name w:val="Header and Footer"/>
    <w:link w:val="Style_33_ch"/>
    <w:pPr>
      <w:spacing w:line="240" w:lineRule="auto"/>
      <w:ind/>
      <w:jc w:val="both"/>
    </w:pPr>
    <w:rPr>
      <w:rFonts w:ascii="XO Thames" w:hAnsi="XO Thames"/>
      <w:sz w:val="20"/>
    </w:rPr>
  </w:style>
  <w:style w:styleId="Style_33_ch" w:type="character">
    <w:name w:val="Header and Footer"/>
    <w:link w:val="Style_33"/>
    <w:rPr>
      <w:rFonts w:ascii="XO Thames" w:hAnsi="XO Thames"/>
      <w:sz w:val="20"/>
    </w:rPr>
  </w:style>
  <w:style w:styleId="Style_29" w:type="paragraph">
    <w:name w:val="Содержимое таблицы"/>
    <w:basedOn w:val="Style_3"/>
    <w:link w:val="Style_29_ch"/>
  </w:style>
  <w:style w:styleId="Style_29_ch" w:type="character">
    <w:name w:val="Содержимое таблицы"/>
    <w:basedOn w:val="Style_3_ch"/>
    <w:link w:val="Style_29"/>
  </w:style>
  <w:style w:styleId="Style_17" w:type="paragraph">
    <w:name w:val="Default Paragraph Font"/>
    <w:link w:val="Style_17_ch"/>
  </w:style>
  <w:style w:styleId="Style_17_ch" w:type="character">
    <w:name w:val="Default Paragraph Font"/>
    <w:link w:val="Style_17"/>
  </w:style>
  <w:style w:styleId="Style_34" w:type="paragraph">
    <w:name w:val="Колонтитул"/>
    <w:basedOn w:val="Style_3"/>
    <w:link w:val="Style_34_ch"/>
  </w:style>
  <w:style w:styleId="Style_34_ch" w:type="character">
    <w:name w:val="Колонтитул"/>
    <w:basedOn w:val="Style_3_ch"/>
    <w:link w:val="Style_34"/>
  </w:style>
  <w:style w:styleId="Style_35" w:type="paragraph">
    <w:name w:val="Font Style25"/>
    <w:link w:val="Style_35_ch"/>
    <w:rPr>
      <w:rFonts w:ascii="Times New Roman" w:hAnsi="Times New Roman"/>
      <w:sz w:val="22"/>
    </w:rPr>
  </w:style>
  <w:style w:styleId="Style_35_ch" w:type="character">
    <w:name w:val="Font Style25"/>
    <w:link w:val="Style_35"/>
    <w:rPr>
      <w:rFonts w:ascii="Times New Roman" w:hAnsi="Times New Roman"/>
      <w:sz w:val="22"/>
    </w:rPr>
  </w:style>
  <w:style w:styleId="Style_36" w:type="paragraph">
    <w:name w:val="toc 9"/>
    <w:next w:val="Style_3"/>
    <w:link w:val="Style_3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36_ch" w:type="character">
    <w:name w:val="toc 9"/>
    <w:link w:val="Style_36"/>
    <w:rPr>
      <w:rFonts w:ascii="XO Thames" w:hAnsi="XO Thames"/>
      <w:sz w:val="28"/>
    </w:rPr>
  </w:style>
  <w:style w:styleId="Style_37" w:type="paragraph">
    <w:name w:val="Заголовок1"/>
    <w:basedOn w:val="Style_3"/>
    <w:next w:val="Style_26"/>
    <w:link w:val="Style_37_ch"/>
    <w:pPr>
      <w:keepNext w:val="1"/>
      <w:spacing w:after="120" w:before="240"/>
      <w:ind/>
    </w:pPr>
    <w:rPr>
      <w:rFonts w:ascii="PT Astra Serif" w:hAnsi="PT Astra Serif"/>
    </w:rPr>
  </w:style>
  <w:style w:styleId="Style_37_ch" w:type="character">
    <w:name w:val="Заголовок1"/>
    <w:basedOn w:val="Style_3_ch"/>
    <w:link w:val="Style_37"/>
    <w:rPr>
      <w:rFonts w:ascii="PT Astra Serif" w:hAnsi="PT Astra Serif"/>
    </w:rPr>
  </w:style>
  <w:style w:styleId="Style_38" w:type="paragraph">
    <w:name w:val="Верхний колонтитул Знак"/>
    <w:basedOn w:val="Style_17"/>
    <w:link w:val="Style_38_ch"/>
    <w:rPr>
      <w:rFonts w:ascii="Times New Roman" w:hAnsi="Times New Roman"/>
      <w:sz w:val="28"/>
    </w:rPr>
  </w:style>
  <w:style w:styleId="Style_38_ch" w:type="character">
    <w:name w:val="Верхний колонтитул Знак"/>
    <w:basedOn w:val="Style_17_ch"/>
    <w:link w:val="Style_38"/>
    <w:rPr>
      <w:rFonts w:ascii="Times New Roman" w:hAnsi="Times New Roman"/>
      <w:sz w:val="28"/>
    </w:rPr>
  </w:style>
  <w:style w:styleId="Style_39" w:type="paragraph">
    <w:name w:val="Нижний колонтитул Знак1"/>
    <w:basedOn w:val="Style_17"/>
    <w:link w:val="Style_39_ch"/>
    <w:rPr>
      <w:rFonts w:ascii="Times New Roman" w:hAnsi="Times New Roman"/>
      <w:sz w:val="28"/>
    </w:rPr>
  </w:style>
  <w:style w:styleId="Style_39_ch" w:type="character">
    <w:name w:val="Нижний колонтитул Знак1"/>
    <w:basedOn w:val="Style_17_ch"/>
    <w:link w:val="Style_39"/>
    <w:rPr>
      <w:rFonts w:ascii="Times New Roman" w:hAnsi="Times New Roman"/>
      <w:sz w:val="28"/>
    </w:rPr>
  </w:style>
  <w:style w:styleId="Style_40" w:type="paragraph">
    <w:name w:val="toc 8"/>
    <w:next w:val="Style_3"/>
    <w:link w:val="Style_4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0_ch" w:type="character">
    <w:name w:val="toc 8"/>
    <w:link w:val="Style_40"/>
    <w:rPr>
      <w:rFonts w:ascii="XO Thames" w:hAnsi="XO Thames"/>
      <w:sz w:val="28"/>
    </w:rPr>
  </w:style>
  <w:style w:styleId="Style_41" w:type="paragraph">
    <w:name w:val="annotation text"/>
    <w:basedOn w:val="Style_3"/>
    <w:link w:val="Style_41_ch"/>
    <w:rPr>
      <w:sz w:val="20"/>
    </w:rPr>
  </w:style>
  <w:style w:styleId="Style_41_ch" w:type="character">
    <w:name w:val="annotation text"/>
    <w:basedOn w:val="Style_3_ch"/>
    <w:link w:val="Style_41"/>
    <w:rPr>
      <w:sz w:val="20"/>
    </w:rPr>
  </w:style>
  <w:style w:styleId="Style_42" w:type="paragraph">
    <w:name w:val="toc 5"/>
    <w:next w:val="Style_3"/>
    <w:link w:val="Style_42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2_ch" w:type="character">
    <w:name w:val="toc 5"/>
    <w:link w:val="Style_42"/>
    <w:rPr>
      <w:rFonts w:ascii="XO Thames" w:hAnsi="XO Thames"/>
      <w:sz w:val="28"/>
    </w:rPr>
  </w:style>
  <w:style w:styleId="Style_43" w:type="paragraph">
    <w:name w:val="Balloon Text"/>
    <w:basedOn w:val="Style_3"/>
    <w:link w:val="Style_43_ch"/>
    <w:rPr>
      <w:rFonts w:ascii="Tahoma" w:hAnsi="Tahoma"/>
      <w:sz w:val="16"/>
    </w:rPr>
  </w:style>
  <w:style w:styleId="Style_43_ch" w:type="character">
    <w:name w:val="Balloon Text"/>
    <w:basedOn w:val="Style_3_ch"/>
    <w:link w:val="Style_43"/>
    <w:rPr>
      <w:rFonts w:ascii="Tahoma" w:hAnsi="Tahoma"/>
      <w:sz w:val="16"/>
    </w:rPr>
  </w:style>
  <w:style w:styleId="Style_26" w:type="paragraph">
    <w:name w:val="Body Text"/>
    <w:basedOn w:val="Style_3"/>
    <w:link w:val="Style_26_ch"/>
    <w:pPr>
      <w:spacing w:after="140" w:line="276" w:lineRule="auto"/>
      <w:ind/>
    </w:pPr>
  </w:style>
  <w:style w:styleId="Style_26_ch" w:type="character">
    <w:name w:val="Body Text"/>
    <w:basedOn w:val="Style_3_ch"/>
    <w:link w:val="Style_26"/>
  </w:style>
  <w:style w:styleId="Style_44" w:type="paragraph">
    <w:name w:val="Название Знак"/>
    <w:basedOn w:val="Style_17"/>
    <w:link w:val="Style_44_ch"/>
    <w:rPr>
      <w:rFonts w:ascii="Times New Roman" w:hAnsi="Times New Roman"/>
      <w:b w:val="1"/>
      <w:sz w:val="28"/>
    </w:rPr>
  </w:style>
  <w:style w:styleId="Style_44_ch" w:type="character">
    <w:name w:val="Название Знак"/>
    <w:basedOn w:val="Style_17_ch"/>
    <w:link w:val="Style_44"/>
    <w:rPr>
      <w:rFonts w:ascii="Times New Roman" w:hAnsi="Times New Roman"/>
      <w:b w:val="1"/>
      <w:sz w:val="28"/>
    </w:rPr>
  </w:style>
  <w:style w:styleId="Style_45" w:type="paragraph">
    <w:name w:val="Subtitle"/>
    <w:next w:val="Style_3"/>
    <w:link w:val="Style_45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45_ch" w:type="character">
    <w:name w:val="Subtitle"/>
    <w:link w:val="Style_45"/>
    <w:rPr>
      <w:rFonts w:ascii="XO Thames" w:hAnsi="XO Thames"/>
      <w:i w:val="1"/>
      <w:sz w:val="24"/>
    </w:rPr>
  </w:style>
  <w:style w:styleId="Style_46" w:type="paragraph">
    <w:name w:val="Title"/>
    <w:basedOn w:val="Style_3"/>
    <w:next w:val="Style_26"/>
    <w:link w:val="Style_46_ch"/>
    <w:uiPriority w:val="10"/>
    <w:qFormat/>
    <w:pPr>
      <w:ind/>
      <w:jc w:val="center"/>
    </w:pPr>
    <w:rPr>
      <w:b w:val="1"/>
    </w:rPr>
  </w:style>
  <w:style w:styleId="Style_46_ch" w:type="character">
    <w:name w:val="Title"/>
    <w:basedOn w:val="Style_3_ch"/>
    <w:link w:val="Style_46"/>
    <w:rPr>
      <w:b w:val="1"/>
    </w:rPr>
  </w:style>
  <w:style w:styleId="Style_47" w:type="paragraph">
    <w:name w:val="heading 4"/>
    <w:next w:val="Style_3"/>
    <w:link w:val="Style_47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47_ch" w:type="character">
    <w:name w:val="heading 4"/>
    <w:link w:val="Style_47"/>
    <w:rPr>
      <w:rFonts w:ascii="XO Thames" w:hAnsi="XO Thames"/>
      <w:b w:val="1"/>
      <w:sz w:val="24"/>
    </w:rPr>
  </w:style>
  <w:style w:styleId="Style_48" w:type="paragraph">
    <w:name w:val="heading 2"/>
    <w:next w:val="Style_3"/>
    <w:link w:val="Style_48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48_ch" w:type="character">
    <w:name w:val="heading 2"/>
    <w:link w:val="Style_48"/>
    <w:rPr>
      <w:rFonts w:ascii="XO Thames" w:hAnsi="XO Thames"/>
      <w:b w:val="1"/>
      <w:sz w:val="28"/>
    </w:rPr>
  </w:style>
  <w:style w:styleId="Style_49" w:type="paragraph">
    <w:name w:val="Текст выноски Знак"/>
    <w:basedOn w:val="Style_17"/>
    <w:link w:val="Style_49_ch"/>
    <w:rPr>
      <w:rFonts w:ascii="Tahoma" w:hAnsi="Tahoma"/>
      <w:sz w:val="16"/>
    </w:rPr>
  </w:style>
  <w:style w:styleId="Style_49_ch" w:type="character">
    <w:name w:val="Текст выноски Знак"/>
    <w:basedOn w:val="Style_17_ch"/>
    <w:link w:val="Style_49"/>
    <w:rPr>
      <w:rFonts w:ascii="Tahoma" w:hAnsi="Tahoma"/>
      <w:sz w:val="16"/>
    </w:rPr>
  </w:style>
  <w:style w:styleId="Style_50" w:type="paragraph">
    <w:name w:val="annotation subject"/>
    <w:basedOn w:val="Style_41"/>
    <w:next w:val="Style_41"/>
    <w:link w:val="Style_50_ch"/>
    <w:rPr>
      <w:b w:val="1"/>
    </w:rPr>
  </w:style>
  <w:style w:styleId="Style_50_ch" w:type="character">
    <w:name w:val="annotation subject"/>
    <w:basedOn w:val="Style_41_ch"/>
    <w:link w:val="Style_50"/>
    <w:rPr>
      <w:b w:val="1"/>
    </w:r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1" Target="theme/theme1.xml" Type="http://schemas.openxmlformats.org/officeDocument/2006/relationships/theme"/>
  <Relationship Id="rId10" Target="webSettings.xml" Type="http://schemas.openxmlformats.org/officeDocument/2006/relationships/webSettings"/>
  <Relationship Id="rId9" Target="stylesWithEffects.xml" Type="http://schemas.microsoft.com/office/2007/relationships/stylesWithEffects"/>
  <Relationship Id="rId8" Target="styles.xml" Type="http://schemas.openxmlformats.org/officeDocument/2006/relationships/styles"/>
  <Relationship Id="rId7" Target="settings.xml" Type="http://schemas.openxmlformats.org/officeDocument/2006/relationships/settings"/>
  <Relationship Id="rId6" Target="fontTable.xml" Type="http://schemas.openxmlformats.org/officeDocument/2006/relationships/fontTable"/>
  <Relationship Id="rId5" Target="header5.xml" Type="http://schemas.openxmlformats.org/officeDocument/2006/relationships/header"/>
  <Relationship Id="rId4" Target="header4.xml" Type="http://schemas.openxmlformats.org/officeDocument/2006/relationships/header"/>
  <Relationship Id="rId3" Target="header3.xml" Type="http://schemas.openxmlformats.org/officeDocument/2006/relationships/header"/>
  <Relationship Id="rId2" Target="header2.xml" Type="http://schemas.openxmlformats.org/officeDocument/2006/relationships/header"/>
  <Relationship Id="rId1" Target="header1.xml" Type="http://schemas.openxmlformats.org/officeDocument/2006/relationships/head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2026-02-09T20:59:45Z</dcterms:modified>
</cp:coreProperties>
</file>