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00000" w:rsidRDefault="00000000" w:rsidP="00B67A9C">
      <w:pPr>
        <w:widowControl w:val="0"/>
        <w:ind w:firstLine="709"/>
        <w:jc w:val="center"/>
        <w:rPr>
          <w:b/>
          <w:sz w:val="20"/>
        </w:rPr>
      </w:pPr>
      <w:bookmarkStart w:id="0" w:name="_Ref134297402"/>
      <w:r>
        <w:rPr>
          <w:b/>
          <w:sz w:val="20"/>
        </w:rPr>
        <w:t xml:space="preserve">I. </w:t>
      </w:r>
      <w:r>
        <w:rPr>
          <w:b/>
          <w:caps/>
          <w:sz w:val="20"/>
        </w:rPr>
        <w:t>инструкция участникам ЗАПРОСА КОТИРОВОК В электронной форме</w:t>
      </w:r>
    </w:p>
    <w:p w:rsidR="00000000" w:rsidRDefault="00000000" w:rsidP="00B67A9C">
      <w:pPr>
        <w:widowControl w:val="0"/>
        <w:ind w:firstLine="709"/>
        <w:rPr>
          <w:b/>
          <w:caps/>
          <w:sz w:val="20"/>
        </w:rPr>
      </w:pPr>
    </w:p>
    <w:p w:rsidR="00000000" w:rsidRDefault="00000000" w:rsidP="00B67A9C">
      <w:pPr>
        <w:widowControl w:val="0"/>
        <w:ind w:firstLine="709"/>
        <w:jc w:val="center"/>
        <w:rPr>
          <w:b/>
          <w:caps/>
          <w:sz w:val="20"/>
        </w:rPr>
      </w:pPr>
      <w:r>
        <w:rPr>
          <w:b/>
          <w:sz w:val="20"/>
        </w:rPr>
        <w:t>ТЕРМИНЫ И ОПРЕДЕЛЕНИЯ</w:t>
      </w:r>
    </w:p>
    <w:p w:rsidR="00000000" w:rsidRDefault="00000000" w:rsidP="00B67A9C">
      <w:pPr>
        <w:ind w:firstLine="709"/>
        <w:jc w:val="both"/>
        <w:rPr>
          <w:sz w:val="20"/>
        </w:rPr>
      </w:pPr>
      <w:r>
        <w:rPr>
          <w:b/>
          <w:sz w:val="20"/>
        </w:rPr>
        <w:t>Заказчик</w:t>
      </w:r>
      <w:r>
        <w:rPr>
          <w:sz w:val="20"/>
        </w:rPr>
        <w:t xml:space="preserve"> – государственный заказчик (государственный орган (в том числе орган государственной власти), орган управления государственным внебюджетным фондом либо государственное казенное учреждение, действующие от имени субъекта Российской Федерации, уполномоченные принимать бюджетные обязательства в соответствии с бюджетным законодательством Российской Федерации от имени субъекта Российской Федерации и осуществляющие закупки) или бюджетное учреждение,  осуществляющее закупки за счет субсидий, предоставленных из бюджетов бюджетной системы Российской Федерации, и иных средств в соответствии с требованиями  Федерального закона от 05.04.2013 № 44-ФЗ «О контрактной системе в сфере закупок товаров, работ, услуг для обеспечения государственных и муниципальных нужд» (далее – Закон № 44-ФЗ), за исключением случаев, предусмотренных частями 2 и 3 статьи 15 Закона № 44-ФЗ.</w:t>
      </w:r>
    </w:p>
    <w:p w:rsidR="00000000" w:rsidRDefault="00000000" w:rsidP="00B67A9C">
      <w:pPr>
        <w:ind w:firstLine="709"/>
        <w:jc w:val="both"/>
        <w:rPr>
          <w:sz w:val="20"/>
        </w:rPr>
      </w:pPr>
      <w:r>
        <w:rPr>
          <w:b/>
          <w:sz w:val="20"/>
        </w:rPr>
        <w:t>Закупка товара, работы, услуги</w:t>
      </w:r>
      <w:r>
        <w:rPr>
          <w:sz w:val="20"/>
        </w:rPr>
        <w:t xml:space="preserve"> начинается с определения поставщика (подрядчика, исполнителя) и завершается исполнением обязательств сторонами контракта.</w:t>
      </w:r>
    </w:p>
    <w:p w:rsidR="00000000" w:rsidRDefault="00000000" w:rsidP="00B67A9C">
      <w:pPr>
        <w:ind w:firstLine="708"/>
        <w:jc w:val="both"/>
        <w:rPr>
          <w:color w:val="auto"/>
          <w:sz w:val="20"/>
        </w:rPr>
      </w:pPr>
      <w:r>
        <w:rPr>
          <w:b/>
          <w:sz w:val="20"/>
        </w:rPr>
        <w:t>Участник закупки (далее - также участник запроса котировок)</w:t>
      </w:r>
      <w:r>
        <w:rPr>
          <w:sz w:val="20"/>
        </w:rPr>
        <w:t xml:space="preserve"> -</w:t>
      </w:r>
      <w:r>
        <w:rPr>
          <w:color w:val="auto"/>
          <w:sz w:val="20"/>
        </w:rPr>
        <w:t xml:space="preserve"> </w:t>
      </w:r>
      <w:r>
        <w:rPr>
          <w:sz w:val="20"/>
        </w:rPr>
        <w:t>любое юридическое лицо независимо от его организационно-правовой формы, формы собственности, места нахождения и места происхождения капитала, за исключением юридического лица, местом регистрации которого является государство или территория, включенные в утверждаемый в соответствии с</w:t>
      </w:r>
      <w:r>
        <w:rPr>
          <w:color w:val="auto"/>
          <w:sz w:val="20"/>
        </w:rPr>
        <w:t xml:space="preserve"> пунктом 15 статьи 241 Бюджетного кодекса Российской Федерации перечень государств и территорий, используемых для промежуточного (офшорного) владения активами в Российской Федерации (офшорная компания), либо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(далее – Закон № 255-ФЗ), или любое физическое лицо, в том числе зарегистрированное в качестве индивидуального предпринимателя, за исключением физического лица, являющегося иностранным агентом в соответствии с Законом № 255-Ф</w:t>
      </w:r>
      <w:r>
        <w:rPr>
          <w:sz w:val="20"/>
        </w:rPr>
        <w:t>З .</w:t>
      </w:r>
    </w:p>
    <w:p w:rsidR="00000000" w:rsidRDefault="00000000" w:rsidP="00B67A9C">
      <w:pPr>
        <w:ind w:firstLine="709"/>
        <w:jc w:val="both"/>
        <w:rPr>
          <w:sz w:val="20"/>
        </w:rPr>
      </w:pPr>
      <w:r>
        <w:rPr>
          <w:b/>
          <w:sz w:val="20"/>
        </w:rPr>
        <w:t>Единая информационная система в сфере закупок</w:t>
      </w:r>
      <w:r>
        <w:rPr>
          <w:sz w:val="20"/>
        </w:rPr>
        <w:t xml:space="preserve"> (далее - ЕИС) - совокупность информации, указанной в части 3 статьи 4 Закона № 44-ФЗ 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 </w:t>
      </w:r>
    </w:p>
    <w:p w:rsidR="00000000" w:rsidRDefault="00000000" w:rsidP="00B67A9C">
      <w:pPr>
        <w:ind w:firstLine="708"/>
        <w:jc w:val="both"/>
        <w:rPr>
          <w:sz w:val="20"/>
        </w:rPr>
      </w:pPr>
      <w:r>
        <w:rPr>
          <w:b/>
          <w:sz w:val="20"/>
        </w:rPr>
        <w:t xml:space="preserve">Электронная площадка - </w:t>
      </w:r>
      <w:r>
        <w:rPr>
          <w:sz w:val="20"/>
        </w:rPr>
        <w:t>сайт в информационно-телекоммуникационной сети «Интернет», соответствующий установленным в соответствии с пунктами 1 и 2 части 2 статьи 24.1 Закона № 44-ФЗ требованиям, на котором проводятся конкурентные способы определения поставщиков (подрядчиков, исполнителей) в электронной форме (за исключением закрытых способов определения поставщиков (подрядчиков, исполнителей) в электронной форме), а также закупки товара у единственного поставщика в электронной форме на сумму, предусмотренную частью 12 статьи 93 Закона № 44-ФЗ.</w:t>
      </w:r>
    </w:p>
    <w:p w:rsidR="00000000" w:rsidRDefault="00000000" w:rsidP="00B67A9C">
      <w:pPr>
        <w:widowControl w:val="0"/>
        <w:ind w:firstLine="709"/>
        <w:jc w:val="both"/>
        <w:rPr>
          <w:sz w:val="20"/>
        </w:rPr>
      </w:pPr>
      <w:r>
        <w:rPr>
          <w:b/>
          <w:sz w:val="20"/>
        </w:rPr>
        <w:t xml:space="preserve">Оператор электронной площадки - </w:t>
      </w:r>
      <w:r>
        <w:rPr>
          <w:sz w:val="20"/>
        </w:rPr>
        <w:t>непубличное хозяйственное общество, в уставном капитале которого иностранным гражданам, лицам без гражданства, иностранным юридическим лицам принадлежит не более чем двадцать пять процентов долей (акций) такого общества и которое владеет электронной площадкой, в том числе необходимыми для ее функционирования программно-аппаратными средствами, обеспечивает ее функционирование, а также соответствует установленным в соответствии с пунктами 1 и 2 части 2 статьи 24.1 Закона № 44-ФЗ требованиям и включено в утвержденный Правительством Российской Федерации перечень операторов электронных площадок.</w:t>
      </w:r>
    </w:p>
    <w:p w:rsidR="00000000" w:rsidRDefault="00000000" w:rsidP="00B67A9C">
      <w:pPr>
        <w:ind w:firstLine="708"/>
        <w:jc w:val="both"/>
        <w:rPr>
          <w:sz w:val="20"/>
        </w:rPr>
      </w:pPr>
      <w:r>
        <w:rPr>
          <w:b/>
          <w:bCs/>
          <w:sz w:val="20"/>
        </w:rPr>
        <w:t xml:space="preserve">Запрос котировок в электронной форме </w:t>
      </w:r>
      <w:r>
        <w:rPr>
          <w:bCs/>
          <w:sz w:val="20"/>
        </w:rPr>
        <w:t>(далее - запрос котировок)</w:t>
      </w:r>
      <w:r>
        <w:rPr>
          <w:b/>
          <w:sz w:val="20"/>
        </w:rPr>
        <w:t xml:space="preserve"> – </w:t>
      </w:r>
      <w:r>
        <w:rPr>
          <w:sz w:val="20"/>
        </w:rPr>
        <w:t>открытый конкурентный способ определения поставщика (подрядчика, исполнителя), при котором информация о закупке сообщается неограниченному кругу лиц путем размещения в ЕИС извещения об осуществлении закупки, победителем которого признается участник закупки, заявка на участие в закупке которого соответствует требованиям, установленным в извещении об осуществлении закупки, и который предложил наиболее низкую цену контракта, наименьшую сумму цен единиц товаров, работ, услуг (в случае, предусмотренном</w:t>
      </w:r>
      <w:r>
        <w:rPr>
          <w:color w:val="auto"/>
          <w:sz w:val="20"/>
        </w:rPr>
        <w:t xml:space="preserve"> </w:t>
      </w:r>
      <w:hyperlink r:id="rId7" w:tooltip="consultantplus://offline/ref=FF3E349D323B71DCEEF4111FC01EB740E6377A8490D88A50F14131E6659F8BE5EAFCA6A16A21DB29AAFD727402DC67648050CB0BD9EE57g8B" w:history="1">
        <w:r>
          <w:rPr>
            <w:color w:val="auto"/>
            <w:sz w:val="20"/>
          </w:rPr>
          <w:t>частью 24 статьи 22</w:t>
        </w:r>
      </w:hyperlink>
      <w:r>
        <w:rPr>
          <w:color w:val="auto"/>
          <w:sz w:val="20"/>
        </w:rPr>
        <w:t xml:space="preserve"> Зако</w:t>
      </w:r>
      <w:r>
        <w:rPr>
          <w:sz w:val="20"/>
        </w:rPr>
        <w:t>на № 44-ФЗ).</w:t>
      </w:r>
    </w:p>
    <w:p w:rsidR="00000000" w:rsidRDefault="00000000" w:rsidP="00B67A9C">
      <w:pPr>
        <w:ind w:firstLine="709"/>
        <w:jc w:val="both"/>
        <w:rPr>
          <w:sz w:val="20"/>
        </w:rPr>
      </w:pPr>
      <w:r>
        <w:rPr>
          <w:b/>
          <w:sz w:val="20"/>
        </w:rPr>
        <w:t xml:space="preserve">Инструкция участникам запроса котировок </w:t>
      </w:r>
      <w:r>
        <w:rPr>
          <w:sz w:val="20"/>
        </w:rPr>
        <w:t>(далее – Инструкция) содержит термины и определения, используемые в извещении об осуществлении закупки (далее – извещение), общие положения, требования к подготовке, содержанию и составу заявки на участие в запросе котировок, порядок предоставления обеспечения заявки на участие в запросе котировок, условия независимой гарантии, предоставляемой в качестве обеспечения заявки, обеспечение исполнения контракта, гарантийных обязательств,</w:t>
      </w:r>
      <w:r>
        <w:rPr>
          <w:color w:val="auto"/>
          <w:sz w:val="20"/>
        </w:rPr>
        <w:t xml:space="preserve"> условия независимой гарантии, </w:t>
      </w:r>
      <w:r>
        <w:rPr>
          <w:rFonts w:eastAsia="Calibri"/>
          <w:color w:val="auto"/>
          <w:sz w:val="20"/>
          <w:lang w:eastAsia="en-US"/>
        </w:rPr>
        <w:t>предоставляемой участником закупки в качестве обеспечения исполнения контракта, обеспечения гарантийных обязательств.</w:t>
      </w:r>
    </w:p>
    <w:p w:rsidR="00000000" w:rsidRDefault="00000000" w:rsidP="00B67A9C">
      <w:pPr>
        <w:spacing w:line="240" w:lineRule="exact"/>
        <w:ind w:firstLine="708"/>
        <w:jc w:val="both"/>
        <w:rPr>
          <w:sz w:val="20"/>
        </w:rPr>
      </w:pPr>
      <w:r>
        <w:rPr>
          <w:b/>
          <w:sz w:val="20"/>
        </w:rPr>
        <w:t>Техническая часть</w:t>
      </w:r>
      <w:r>
        <w:rPr>
          <w:sz w:val="20"/>
        </w:rPr>
        <w:t xml:space="preserve"> </w:t>
      </w:r>
      <w:r>
        <w:rPr>
          <w:b/>
          <w:sz w:val="20"/>
        </w:rPr>
        <w:t xml:space="preserve">- часть III извещения, </w:t>
      </w:r>
      <w:r>
        <w:rPr>
          <w:sz w:val="20"/>
        </w:rPr>
        <w:t xml:space="preserve">содержащая описание объекта и (или) объектов закупки, включающее также характеристики, с учетом положений статьи 33 Закона № 44-ФЗ. </w:t>
      </w:r>
    </w:p>
    <w:p w:rsidR="00000000" w:rsidRDefault="00000000" w:rsidP="00B67A9C">
      <w:pPr>
        <w:spacing w:line="240" w:lineRule="exact"/>
        <w:ind w:firstLine="708"/>
        <w:jc w:val="both"/>
        <w:rPr>
          <w:b/>
        </w:rPr>
      </w:pPr>
      <w:r>
        <w:rPr>
          <w:b/>
          <w:sz w:val="20"/>
        </w:rPr>
        <w:t>Предложение участника закупки в отношении объекта закупки (далее Предложение участника закупки)</w:t>
      </w:r>
      <w:r>
        <w:rPr>
          <w:sz w:val="20"/>
        </w:rPr>
        <w:t xml:space="preserve"> в соответствии с частью 2 статьи 43 Закона № 44-ФЗ.</w:t>
      </w:r>
      <w:r>
        <w:tab/>
      </w:r>
    </w:p>
    <w:p w:rsidR="00000000" w:rsidRDefault="00000000" w:rsidP="00B67A9C">
      <w:pPr>
        <w:ind w:firstLine="709"/>
        <w:outlineLvl w:val="0"/>
        <w:rPr>
          <w:b/>
          <w:caps/>
          <w:sz w:val="20"/>
        </w:rPr>
      </w:pPr>
    </w:p>
    <w:p w:rsidR="00000000" w:rsidRDefault="00000000" w:rsidP="00B67A9C">
      <w:pPr>
        <w:numPr>
          <w:ilvl w:val="0"/>
          <w:numId w:val="7"/>
        </w:numPr>
        <w:ind w:left="0" w:firstLine="709"/>
        <w:outlineLvl w:val="0"/>
        <w:rPr>
          <w:b/>
          <w:sz w:val="20"/>
        </w:rPr>
      </w:pPr>
      <w:r>
        <w:rPr>
          <w:b/>
          <w:sz w:val="20"/>
        </w:rPr>
        <w:t>ОБЩИЕ ПОЛОЖЕНИЯ</w:t>
      </w:r>
    </w:p>
    <w:p w:rsidR="00000000" w:rsidRDefault="00000000" w:rsidP="00B67A9C">
      <w:pPr>
        <w:ind w:firstLine="709"/>
        <w:jc w:val="both"/>
        <w:outlineLvl w:val="0"/>
        <w:rPr>
          <w:sz w:val="20"/>
        </w:rPr>
      </w:pPr>
      <w:r>
        <w:rPr>
          <w:sz w:val="20"/>
        </w:rPr>
        <w:t>1.1. Извещение подготовлено в соответствии с требованиями Закона № 44-ФЗ, а также иными нормативными правовыми актами о контрактной системе в сфере закупок.</w:t>
      </w:r>
    </w:p>
    <w:p w:rsidR="00000000" w:rsidRDefault="00000000" w:rsidP="00B67A9C">
      <w:pPr>
        <w:widowControl w:val="0"/>
        <w:ind w:firstLine="709"/>
        <w:jc w:val="both"/>
        <w:rPr>
          <w:sz w:val="20"/>
        </w:rPr>
      </w:pPr>
      <w:r>
        <w:rPr>
          <w:sz w:val="20"/>
        </w:rPr>
        <w:t>1.2. Проведение переговоров заказчиком, уполномоченным органом, членами комиссии по осуществлению закупок с участником закупки в отношении заявок на участие в определении поставщика (подрядчика, исполнителя), в том числе в отношении заявки, поданной участником закупки, не допускается до выявления победителя указанного определения, за исключением случаев, предусмотренных Законом № 44-ФЗ.</w:t>
      </w:r>
    </w:p>
    <w:p w:rsidR="00000000" w:rsidRDefault="00000000" w:rsidP="00B67A9C">
      <w:pPr>
        <w:widowControl w:val="0"/>
        <w:ind w:firstLine="709"/>
        <w:jc w:val="both"/>
        <w:rPr>
          <w:sz w:val="20"/>
        </w:rPr>
      </w:pPr>
      <w:r>
        <w:rPr>
          <w:sz w:val="20"/>
        </w:rPr>
        <w:t>Проведение переговоров заказчика, уполномоченного органа с оператором электронной площадки и оператора электронной площадки с участником закупки не допускается в случае, если в результате этих переговоров создаются преимущественные условия для участия в запросе котировок и (или) условия для разглашения конфиденциальной информации.</w:t>
      </w:r>
    </w:p>
    <w:p w:rsidR="00000000" w:rsidRDefault="00000000" w:rsidP="00B67A9C">
      <w:pPr>
        <w:ind w:firstLine="708"/>
        <w:jc w:val="both"/>
        <w:rPr>
          <w:sz w:val="20"/>
        </w:rPr>
      </w:pPr>
      <w:r>
        <w:rPr>
          <w:sz w:val="20"/>
        </w:rPr>
        <w:lastRenderedPageBreak/>
        <w:t>1.3. Подать заявку на участие в запросе котировок вправе только зарегистрированный в ЕИС и аккредитованный на электронной площадке участник закупки путем направления такой заявки в соответствии с Законом № 44-ФЗ оператору электронной площадки.</w:t>
      </w:r>
    </w:p>
    <w:p w:rsidR="00000000" w:rsidRDefault="00000000" w:rsidP="00B67A9C">
      <w:pPr>
        <w:ind w:firstLine="708"/>
        <w:jc w:val="both"/>
        <w:rPr>
          <w:color w:val="FF0000"/>
          <w:sz w:val="20"/>
        </w:rPr>
      </w:pPr>
      <w:r>
        <w:rPr>
          <w:color w:val="FF0000"/>
          <w:sz w:val="20"/>
        </w:rPr>
        <w:t>1.4. Внимание!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ответственность в соответствии со ст. 14.32 КоАП РФ и ст. 178 УК РФ.</w:t>
      </w:r>
    </w:p>
    <w:p w:rsidR="00000000" w:rsidRDefault="00000000" w:rsidP="00B67A9C">
      <w:pPr>
        <w:ind w:firstLine="709"/>
        <w:jc w:val="both"/>
        <w:rPr>
          <w:sz w:val="20"/>
        </w:rPr>
      </w:pPr>
    </w:p>
    <w:p w:rsidR="00000000" w:rsidRDefault="00000000" w:rsidP="00B67A9C">
      <w:pPr>
        <w:ind w:firstLine="709"/>
        <w:jc w:val="both"/>
        <w:rPr>
          <w:b/>
          <w:caps/>
          <w:sz w:val="20"/>
        </w:rPr>
      </w:pPr>
      <w:r>
        <w:rPr>
          <w:b/>
          <w:caps/>
          <w:sz w:val="20"/>
        </w:rPr>
        <w:t>2. Дополнительные требования в соответствии с частями 2 и 2.1 статьи 31</w:t>
      </w:r>
      <w:r>
        <w:rPr>
          <w:b/>
          <w:caps/>
          <w:sz w:val="20"/>
        </w:rPr>
        <w:br/>
        <w:t>Закона № 44-ФЗ, Требование К УЧАСТНИКАМ ЗАКУПКИ в соответствии с УКАЗОМ ПРЕЗИДЕНТА рф ОТ 03.05.2022 № 252</w:t>
      </w:r>
    </w:p>
    <w:p w:rsidR="00000000" w:rsidRDefault="00000000" w:rsidP="00B67A9C">
      <w:pPr>
        <w:tabs>
          <w:tab w:val="left" w:pos="576"/>
          <w:tab w:val="left" w:pos="1134"/>
        </w:tabs>
        <w:ind w:firstLine="709"/>
        <w:jc w:val="both"/>
        <w:outlineLvl w:val="1"/>
        <w:rPr>
          <w:sz w:val="20"/>
        </w:rPr>
      </w:pPr>
      <w:r>
        <w:rPr>
          <w:sz w:val="20"/>
        </w:rPr>
        <w:t>2.1. В целях обеспечения доступа к участию в проводимых на электронной площадке закупках отдельных видов товаров, работ, услуг, в отношении участников которых установлены дополнительные требования в соответствии с частями 2 и 2.1 статьи 31 Закона № 44-ФЗ, участник закупки, аккредитованный на электронной площадке, направляет оператору этой электронной площадки в отношении каждого такого вида информацию и документы, предусмотренные перечнем, установленным Правительством Российской Федерации в соответствии с частью 3 статьи 31 Закона № 44-ФЗ.</w:t>
      </w:r>
    </w:p>
    <w:p w:rsidR="00000000" w:rsidRDefault="00000000" w:rsidP="00B67A9C">
      <w:pPr>
        <w:tabs>
          <w:tab w:val="left" w:pos="576"/>
          <w:tab w:val="left" w:pos="1134"/>
        </w:tabs>
        <w:ind w:firstLine="709"/>
        <w:jc w:val="both"/>
        <w:outlineLvl w:val="1"/>
        <w:rPr>
          <w:sz w:val="20"/>
        </w:rPr>
      </w:pPr>
      <w:r>
        <w:rPr>
          <w:sz w:val="20"/>
        </w:rPr>
        <w:t>2.2. В течение пяти рабочих дней со дня, следующего за днем получения информации и документов, оператор электронной площадки по каждому виду товаров, работ, услуг, в отношении которых участником закупки предоставлены такие информация и документы, принимает решение о размещении таких информации и документов в реестре участников закупок, аккредитованных на электронной площадке, или об отказе в размещении таких информации и документов в реестре участников закупок, аккредитованных на электронной площадке.</w:t>
      </w:r>
    </w:p>
    <w:p w:rsidR="00000000" w:rsidRDefault="00000000" w:rsidP="00B67A9C">
      <w:pPr>
        <w:tabs>
          <w:tab w:val="left" w:pos="576"/>
          <w:tab w:val="left" w:pos="1134"/>
        </w:tabs>
        <w:ind w:firstLine="709"/>
        <w:jc w:val="both"/>
        <w:outlineLvl w:val="1"/>
        <w:rPr>
          <w:sz w:val="20"/>
        </w:rPr>
      </w:pPr>
      <w:r>
        <w:rPr>
          <w:sz w:val="20"/>
        </w:rPr>
        <w:t xml:space="preserve">2.3. Требования, предъявляемые к участникам закупки в соответствии с частями 2 и 2.1 (при наличии таких требований) статьи 31 Закона № 44-ФЗ, и исчерпывающий перечень документов, подтверждающих соответствие участника закупки </w:t>
      </w:r>
      <w:proofErr w:type="gramStart"/>
      <w:r>
        <w:rPr>
          <w:sz w:val="20"/>
        </w:rPr>
        <w:t>таким требованиям</w:t>
      </w:r>
      <w:proofErr w:type="gramEnd"/>
      <w:r>
        <w:rPr>
          <w:sz w:val="20"/>
        </w:rPr>
        <w:t xml:space="preserve"> включаются в извещение.</w:t>
      </w:r>
    </w:p>
    <w:p w:rsidR="00000000" w:rsidRDefault="00000000" w:rsidP="00B67A9C">
      <w:pPr>
        <w:ind w:firstLine="709"/>
        <w:jc w:val="both"/>
        <w:rPr>
          <w:sz w:val="20"/>
        </w:rPr>
      </w:pPr>
      <w:r>
        <w:rPr>
          <w:sz w:val="20"/>
        </w:rPr>
        <w:t>2.4. Участник закупки не может находиться под запретом, установленным в соответствии с абзацем вторым подпункта "а" пункта 2 Указа Президента Российской Федерации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а также в соответствии с постановлением Правительства РФ от 11.05.2022 № 851 "О мерах по реализации Указа Президента Российской Федерации от 03.05.2022 № 252".</w:t>
      </w:r>
    </w:p>
    <w:p w:rsidR="00000000" w:rsidRDefault="00000000" w:rsidP="00B67A9C">
      <w:pPr>
        <w:jc w:val="both"/>
        <w:outlineLvl w:val="4"/>
        <w:rPr>
          <w:sz w:val="20"/>
        </w:rPr>
      </w:pPr>
    </w:p>
    <w:p w:rsidR="00000000" w:rsidRDefault="00000000" w:rsidP="00B67A9C">
      <w:pPr>
        <w:tabs>
          <w:tab w:val="left" w:pos="851"/>
          <w:tab w:val="left" w:pos="1560"/>
        </w:tabs>
        <w:ind w:firstLine="709"/>
        <w:jc w:val="both"/>
        <w:outlineLvl w:val="0"/>
        <w:rPr>
          <w:b/>
          <w:sz w:val="20"/>
        </w:rPr>
      </w:pPr>
      <w:r>
        <w:rPr>
          <w:b/>
          <w:sz w:val="20"/>
        </w:rPr>
        <w:t xml:space="preserve">3. ПОДГОТОВКА ЗАЯВКИ </w:t>
      </w:r>
    </w:p>
    <w:p w:rsidR="00000000" w:rsidRDefault="00000000" w:rsidP="00B67A9C">
      <w:pPr>
        <w:tabs>
          <w:tab w:val="left" w:pos="576"/>
          <w:tab w:val="left" w:pos="1134"/>
        </w:tabs>
        <w:ind w:firstLine="709"/>
        <w:outlineLvl w:val="1"/>
        <w:rPr>
          <w:sz w:val="20"/>
        </w:rPr>
      </w:pPr>
      <w:r>
        <w:rPr>
          <w:b/>
          <w:sz w:val="20"/>
        </w:rPr>
        <w:t>3.1.</w:t>
      </w:r>
      <w:r>
        <w:rPr>
          <w:b/>
          <w:sz w:val="20"/>
        </w:rPr>
        <w:tab/>
      </w:r>
      <w:r>
        <w:rPr>
          <w:sz w:val="20"/>
        </w:rPr>
        <w:t>Заполнение заявки участником закупки производится на русском языке.</w:t>
      </w:r>
    </w:p>
    <w:p w:rsidR="00000000" w:rsidRDefault="00000000" w:rsidP="00B67A9C">
      <w:pPr>
        <w:tabs>
          <w:tab w:val="left" w:pos="576"/>
          <w:tab w:val="left" w:pos="1134"/>
        </w:tabs>
        <w:ind w:firstLine="709"/>
        <w:outlineLvl w:val="1"/>
        <w:rPr>
          <w:sz w:val="20"/>
        </w:rPr>
      </w:pPr>
    </w:p>
    <w:p w:rsidR="00000000" w:rsidRDefault="00000000" w:rsidP="00B67A9C">
      <w:pPr>
        <w:tabs>
          <w:tab w:val="left" w:pos="576"/>
          <w:tab w:val="left" w:pos="1134"/>
        </w:tabs>
        <w:ind w:firstLine="709"/>
        <w:outlineLvl w:val="1"/>
        <w:rPr>
          <w:b/>
          <w:sz w:val="20"/>
        </w:rPr>
      </w:pPr>
      <w:r>
        <w:rPr>
          <w:b/>
          <w:sz w:val="20"/>
        </w:rPr>
        <w:t xml:space="preserve">4. ТРЕБОВАНИЯ К СОДЕРЖАНИЮ, СОСТАВУ ЗАЯВКИ </w:t>
      </w:r>
    </w:p>
    <w:p w:rsidR="00000000" w:rsidRDefault="00000000" w:rsidP="00B67A9C">
      <w:pPr>
        <w:pStyle w:val="af0"/>
        <w:numPr>
          <w:ilvl w:val="1"/>
          <w:numId w:val="8"/>
        </w:numPr>
        <w:rPr>
          <w:rFonts w:ascii="Times New Roman" w:hAnsi="Times New Roman"/>
        </w:rPr>
      </w:pPr>
      <w:r>
        <w:rPr>
          <w:rFonts w:ascii="Times New Roman" w:hAnsi="Times New Roman"/>
        </w:rPr>
        <w:t>Заявка должна содержать следующие информацию и документы:</w:t>
      </w:r>
    </w:p>
    <w:p w:rsidR="00000000" w:rsidRDefault="00000000" w:rsidP="00B67A9C">
      <w:pPr>
        <w:tabs>
          <w:tab w:val="left" w:pos="851"/>
          <w:tab w:val="left" w:pos="1134"/>
        </w:tabs>
        <w:ind w:firstLine="709"/>
        <w:contextualSpacing/>
        <w:jc w:val="both"/>
        <w:rPr>
          <w:sz w:val="20"/>
        </w:rPr>
      </w:pPr>
      <w:r>
        <w:rPr>
          <w:sz w:val="20"/>
        </w:rPr>
        <w:t xml:space="preserve">4.1.1.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запросе котировок, обеспечения исполнения контракта является крупной сделкой. </w:t>
      </w:r>
    </w:p>
    <w:p w:rsidR="00000000" w:rsidRDefault="00000000" w:rsidP="00B67A9C">
      <w:pPr>
        <w:tabs>
          <w:tab w:val="left" w:pos="851"/>
          <w:tab w:val="left" w:pos="1134"/>
        </w:tabs>
        <w:ind w:firstLine="709"/>
        <w:contextualSpacing/>
        <w:jc w:val="both"/>
        <w:rPr>
          <w:sz w:val="20"/>
        </w:rPr>
      </w:pPr>
      <w:r>
        <w:rPr>
          <w:sz w:val="20"/>
        </w:rPr>
        <w:t xml:space="preserve">4.1.2. Информация и документы, которые подтверждают соответствие участника закупки требованиям, установленным пунктом 1 части 1 статьи 31 Закона № 44-ФЗ, если иное не предусмотрено Законом №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 Закона № 44-ФЗ, пунктом 4.1.3 Инструкции декларация о соответствии участника закупки требованиям, установленным </w:t>
      </w:r>
      <w:hyperlink r:id="rId8" w:tooltip="https://login.consultant.ru/link/?req=doc&amp;base=LAW&amp;n=495181&amp;dst=100336&amp;field=134&amp;date=13.02.2026" w:history="1">
        <w:r>
          <w:rPr>
            <w:sz w:val="20"/>
          </w:rPr>
          <w:t>пунктом 1 части 1 статьи 31</w:t>
        </w:r>
      </w:hyperlink>
      <w:r>
        <w:rPr>
          <w:sz w:val="20"/>
        </w:rPr>
        <w:t xml:space="preserve"> Закона № 44-ФЗ).</w:t>
      </w:r>
    </w:p>
    <w:p w:rsidR="00000000" w:rsidRDefault="00000000" w:rsidP="00B67A9C">
      <w:pPr>
        <w:tabs>
          <w:tab w:val="left" w:pos="851"/>
          <w:tab w:val="left" w:pos="1134"/>
        </w:tabs>
        <w:ind w:firstLine="709"/>
        <w:contextualSpacing/>
        <w:jc w:val="both"/>
        <w:rPr>
          <w:sz w:val="20"/>
        </w:rPr>
      </w:pPr>
      <w:r>
        <w:rPr>
          <w:sz w:val="20"/>
        </w:rPr>
        <w:t>4.1.3. Декларация о соответствии участника закупки требованиям, установленным пунктами 3 - 5, 7 - 11 части 1 статьи 31 Закона № 44-ФЗ (может включать декларацию о соответствии участника закупки требованиям, установленным пунктом 1 части 1 статьи 31 Закона № 44-ФЗ):</w:t>
      </w:r>
    </w:p>
    <w:p w:rsidR="00000000" w:rsidRDefault="00000000" w:rsidP="00B67A9C">
      <w:pPr>
        <w:ind w:firstLine="709"/>
        <w:jc w:val="both"/>
        <w:rPr>
          <w:sz w:val="20"/>
        </w:rPr>
      </w:pPr>
      <w:r>
        <w:rPr>
          <w:sz w:val="20"/>
        </w:rPr>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000000" w:rsidRDefault="00000000" w:rsidP="00B67A9C">
      <w:pPr>
        <w:ind w:firstLine="709"/>
        <w:jc w:val="both"/>
        <w:rPr>
          <w:sz w:val="20"/>
        </w:rPr>
      </w:pPr>
      <w:r>
        <w:rPr>
          <w:sz w:val="20"/>
        </w:rPr>
        <w:t xml:space="preserve">- </w:t>
      </w:r>
      <w:proofErr w:type="spellStart"/>
      <w:r>
        <w:rPr>
          <w:sz w:val="20"/>
        </w:rPr>
        <w:t>неприостановление</w:t>
      </w:r>
      <w:proofErr w:type="spellEnd"/>
      <w:r>
        <w:rPr>
          <w:sz w:val="20"/>
        </w:rPr>
        <w:t xml:space="preserve"> деятельности участника закупки в порядке, установленном Кодексом Российской Федерации об административных правонарушениях;</w:t>
      </w:r>
    </w:p>
    <w:p w:rsidR="00000000" w:rsidRDefault="00000000" w:rsidP="00B67A9C">
      <w:pPr>
        <w:ind w:firstLine="709"/>
        <w:jc w:val="both"/>
        <w:rPr>
          <w:sz w:val="20"/>
        </w:rPr>
      </w:pPr>
      <w:r>
        <w:rPr>
          <w:sz w:val="20"/>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000000" w:rsidRDefault="00000000" w:rsidP="00B67A9C">
      <w:pPr>
        <w:ind w:firstLine="709"/>
        <w:jc w:val="both"/>
        <w:rPr>
          <w:sz w:val="20"/>
        </w:rPr>
      </w:pPr>
      <w:r>
        <w:rPr>
          <w:sz w:val="20"/>
        </w:rPr>
        <w:t xml:space="preserve">-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w:t>
      </w:r>
      <w:r>
        <w:rPr>
          <w:sz w:val="20"/>
        </w:rPr>
        <w:lastRenderedPageBreak/>
        <w:t>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000000" w:rsidRDefault="00000000" w:rsidP="00B67A9C">
      <w:pPr>
        <w:ind w:firstLine="709"/>
        <w:jc w:val="both"/>
        <w:rPr>
          <w:sz w:val="20"/>
        </w:rPr>
      </w:pPr>
      <w:r>
        <w:rPr>
          <w:sz w:val="20"/>
        </w:rPr>
        <w:t>- участник закупки - юридическое лицо, которое в течение двух лет до момента подачи заявки на участие в запросе котировок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000000" w:rsidRDefault="00000000" w:rsidP="00B67A9C">
      <w:pPr>
        <w:ind w:firstLine="709"/>
        <w:jc w:val="both"/>
        <w:rPr>
          <w:sz w:val="20"/>
        </w:rPr>
      </w:pPr>
      <w:r>
        <w:rPr>
          <w:sz w:val="20"/>
        </w:rPr>
        <w:t>-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000000" w:rsidRDefault="00000000" w:rsidP="00B67A9C">
      <w:pPr>
        <w:ind w:firstLine="708"/>
        <w:jc w:val="both"/>
        <w:rPr>
          <w:sz w:val="20"/>
        </w:rPr>
      </w:pPr>
      <w:r>
        <w:rPr>
          <w:sz w:val="20"/>
        </w:rPr>
        <w:t>-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000000" w:rsidRDefault="00000000" w:rsidP="00B67A9C">
      <w:pPr>
        <w:ind w:firstLine="540"/>
        <w:jc w:val="both"/>
        <w:rPr>
          <w:sz w:val="20"/>
        </w:rPr>
      </w:pPr>
      <w:r>
        <w:rPr>
          <w:sz w:val="20"/>
        </w:rPr>
        <w:t>а) физическим лицом (в том числе зарегистрированным в качестве индивидуального предпринимателя), являющимся участником закупки;</w:t>
      </w:r>
    </w:p>
    <w:p w:rsidR="00000000" w:rsidRDefault="00000000" w:rsidP="00B67A9C">
      <w:pPr>
        <w:ind w:firstLine="540"/>
        <w:jc w:val="both"/>
        <w:rPr>
          <w:sz w:val="20"/>
        </w:rPr>
      </w:pPr>
      <w:r>
        <w:rPr>
          <w:sz w:val="20"/>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000000" w:rsidRDefault="00000000" w:rsidP="00B67A9C">
      <w:pPr>
        <w:ind w:firstLine="540"/>
        <w:jc w:val="both"/>
        <w:rPr>
          <w:sz w:val="20"/>
        </w:rPr>
      </w:pPr>
      <w:r>
        <w:rPr>
          <w:sz w:val="20"/>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000000" w:rsidRDefault="00000000" w:rsidP="00B67A9C">
      <w:pPr>
        <w:ind w:firstLine="709"/>
        <w:jc w:val="both"/>
        <w:rPr>
          <w:sz w:val="20"/>
        </w:rPr>
      </w:pPr>
      <w:r>
        <w:rPr>
          <w:sz w:val="20"/>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000000" w:rsidRDefault="00000000" w:rsidP="00B67A9C">
      <w:pPr>
        <w:ind w:firstLine="709"/>
        <w:jc w:val="both"/>
        <w:rPr>
          <w:sz w:val="20"/>
        </w:rPr>
      </w:pPr>
      <w:r>
        <w:rPr>
          <w:sz w:val="20"/>
        </w:rPr>
        <w:t>- участник закупки не является иностранным агентом;</w:t>
      </w:r>
    </w:p>
    <w:p w:rsidR="00000000" w:rsidRDefault="00000000" w:rsidP="00B67A9C">
      <w:pPr>
        <w:ind w:firstLine="709"/>
        <w:jc w:val="both"/>
        <w:rPr>
          <w:sz w:val="20"/>
        </w:rPr>
      </w:pPr>
      <w:r>
        <w:rPr>
          <w:sz w:val="20"/>
        </w:rPr>
        <w:t>- отсутствие у участника закупки ограничений для участия в закупках, установленных законодательством Российской Федерации;</w:t>
      </w:r>
    </w:p>
    <w:p w:rsidR="00000000" w:rsidRDefault="00000000" w:rsidP="00B67A9C">
      <w:pPr>
        <w:ind w:firstLine="709"/>
        <w:jc w:val="both"/>
        <w:rPr>
          <w:sz w:val="20"/>
        </w:rPr>
      </w:pPr>
      <w:r>
        <w:rPr>
          <w:sz w:val="20"/>
        </w:rPr>
        <w:t>- может быть также включено положение о соответствии участника закупки требованиям, установленным пунктом 1 части 1 статьи 31  Закона №  44-ФЗ, с указанием адреса сайта или страницы сайта в информационно-телекоммуникационной сети "Интернет", на которых размещены информация и документы которые подтверждают соответствие участника закупки требованиям, установленным пунктом 1 части 1 статьи 31 Закона № 44-ФЗ (если информация и документы, которые подтверждают соответствие участника закупки требованиям, установленным пунктом 1 части 1 статьи 31 Закона № 44-ФЗ, содержатся в открытых и общедоступных государственных реестрах, размещенных в информационно-телекоммуникационной сети "Интернет").</w:t>
      </w:r>
    </w:p>
    <w:p w:rsidR="00000000" w:rsidRDefault="00000000" w:rsidP="00B67A9C">
      <w:pPr>
        <w:ind w:firstLine="709"/>
        <w:jc w:val="both"/>
        <w:rPr>
          <w:sz w:val="20"/>
        </w:rPr>
      </w:pPr>
      <w:r>
        <w:rPr>
          <w:sz w:val="20"/>
        </w:rPr>
        <w:t>4.1.4.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000000" w:rsidRDefault="00000000" w:rsidP="00B67A9C">
      <w:pPr>
        <w:ind w:firstLine="709"/>
        <w:jc w:val="both"/>
        <w:rPr>
          <w:sz w:val="20"/>
        </w:rPr>
      </w:pPr>
      <w:r>
        <w:rPr>
          <w:sz w:val="20"/>
        </w:rPr>
        <w:t xml:space="preserve">4.1.5. Предложение участника закупки в отношении объекта закупки (если предусмотрено Законом № 44-ФЗ и извещением): </w:t>
      </w:r>
    </w:p>
    <w:p w:rsidR="00000000" w:rsidRDefault="00000000" w:rsidP="00B67A9C">
      <w:pPr>
        <w:jc w:val="both"/>
        <w:rPr>
          <w:color w:val="FF0000"/>
          <w:sz w:val="20"/>
        </w:rPr>
      </w:pPr>
      <w:r>
        <w:rPr>
          <w:sz w:val="20"/>
        </w:rPr>
        <w:t xml:space="preserve">              4.1.5.1. </w:t>
      </w:r>
      <w:bookmarkStart w:id="1" w:name="Par0"/>
      <w:bookmarkEnd w:id="1"/>
      <w:r>
        <w:rPr>
          <w:sz w:val="20"/>
        </w:rPr>
        <w:t>Сформированные с использованием электронной площадки характеристики предлагаемого участником закупки товара</w:t>
      </w:r>
      <w:r>
        <w:rPr>
          <w:sz w:val="20"/>
          <w:vertAlign w:val="superscript"/>
        </w:rPr>
        <w:footnoteReference w:id="1"/>
      </w:r>
      <w:r>
        <w:rPr>
          <w:sz w:val="20"/>
        </w:rPr>
        <w:t>, соответствующие показателям, установленным в описании объекта закупки в сформированном с использованием ЕИС извещении, товарный знак (при наличии у товара товарного знака).</w:t>
      </w:r>
    </w:p>
    <w:p w:rsidR="00000000" w:rsidRDefault="00000000" w:rsidP="00B67A9C">
      <w:pPr>
        <w:ind w:firstLine="709"/>
        <w:jc w:val="both"/>
        <w:rPr>
          <w:sz w:val="20"/>
        </w:rPr>
      </w:pPr>
      <w:r>
        <w:rPr>
          <w:sz w:val="20"/>
        </w:rPr>
        <w:t>Характеристики предлагаемого участником закупки товара в части характеристик, содержащихся в извещении, заполняются в соответствии с содержащейся в извещении инструкцией по заполнению характеристик в заявке.</w:t>
      </w:r>
    </w:p>
    <w:p w:rsidR="00000000" w:rsidRDefault="00000000" w:rsidP="00B67A9C">
      <w:pPr>
        <w:ind w:firstLine="709"/>
        <w:jc w:val="both"/>
        <w:rPr>
          <w:sz w:val="20"/>
        </w:rPr>
      </w:pPr>
      <w:r>
        <w:rPr>
          <w:sz w:val="20"/>
        </w:rPr>
        <w:t>4.1.5.2.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Закона № 44-ФЗ.</w:t>
      </w:r>
    </w:p>
    <w:p w:rsidR="00000000" w:rsidRDefault="00000000" w:rsidP="00B67A9C">
      <w:pPr>
        <w:ind w:firstLine="709"/>
        <w:jc w:val="both"/>
        <w:rPr>
          <w:sz w:val="20"/>
        </w:rPr>
      </w:pPr>
      <w:r>
        <w:rPr>
          <w:sz w:val="20"/>
        </w:rPr>
        <w:t xml:space="preserve">4.1.6.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w:t>
      </w:r>
      <w:r>
        <w:rPr>
          <w:sz w:val="20"/>
        </w:rPr>
        <w:lastRenderedPageBreak/>
        <w:t xml:space="preserve">Федерации установлены требования к товару, работе или услуге и представление указанных документов предусмотрено извещением). </w:t>
      </w:r>
    </w:p>
    <w:p w:rsidR="00000000" w:rsidRDefault="00000000" w:rsidP="00B67A9C">
      <w:pPr>
        <w:ind w:firstLine="540"/>
        <w:jc w:val="both"/>
        <w:rPr>
          <w:sz w:val="20"/>
        </w:rPr>
      </w:pPr>
      <w:r>
        <w:rPr>
          <w:sz w:val="20"/>
        </w:rPr>
        <w:t xml:space="preserve">   4.1.7. Предложение участника закупки о цене контракта либо предложение участника закупки о сумме цен единиц товара, работы, услуги в случае, предусмотренном частью 24 статьи 22 Закона № 44-ФЗ (подача данного предложения обеспечивается программно-аппаратными средствами электронной площадки).</w:t>
      </w:r>
    </w:p>
    <w:p w:rsidR="00000000" w:rsidRDefault="00000000" w:rsidP="00B67A9C">
      <w:pPr>
        <w:ind w:firstLine="708"/>
        <w:jc w:val="both"/>
        <w:rPr>
          <w:sz w:val="20"/>
        </w:rPr>
      </w:pPr>
      <w:r>
        <w:rPr>
          <w:sz w:val="20"/>
        </w:rPr>
        <w:t>4.1.8. Информация и документы (или их копии), предусмотренные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в соответствии с частью 2 статьи 14 Закона № 44-ФЗ (в случае, если в извещении об осуществлении закупки, установлены предусмотренные статьей 14 Закона № 44-ФЗ запреты, ограничения,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rsidR="00000000" w:rsidRDefault="00000000" w:rsidP="00B67A9C">
      <w:pPr>
        <w:ind w:firstLine="708"/>
        <w:jc w:val="both"/>
        <w:rPr>
          <w:sz w:val="20"/>
        </w:rPr>
      </w:pPr>
      <w:r>
        <w:rPr>
          <w:sz w:val="20"/>
        </w:rPr>
        <w:t>4.1.8.1. Информация и документы, подтверждающие страну происхождения товара, программ для электронных вычислительных машин и (или) баз данных (далее – программное обеспечение) в случае закупки товаров из приложения № 1 (запрет закупок) Постановления № 1875:</w:t>
      </w:r>
    </w:p>
    <w:p w:rsidR="00000000" w:rsidRDefault="00000000" w:rsidP="00B67A9C">
      <w:pPr>
        <w:ind w:firstLine="708"/>
        <w:jc w:val="both"/>
        <w:rPr>
          <w:sz w:val="20"/>
        </w:rPr>
      </w:pPr>
    </w:p>
    <w:p w:rsidR="00000000" w:rsidRDefault="00000000" w:rsidP="00B67A9C">
      <w:pPr>
        <w:ind w:firstLine="708"/>
        <w:jc w:val="both"/>
        <w:rPr>
          <w:sz w:val="20"/>
        </w:rPr>
      </w:pPr>
    </w:p>
    <w:p w:rsidR="00000000" w:rsidRDefault="00000000" w:rsidP="00B67A9C">
      <w:pPr>
        <w:ind w:firstLine="708"/>
        <w:jc w:val="both"/>
        <w:rPr>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
        <w:gridCol w:w="2117"/>
        <w:gridCol w:w="4074"/>
        <w:gridCol w:w="4068"/>
      </w:tblGrid>
      <w:tr w:rsidR="0037335C" w:rsidTr="00337118">
        <w:tc>
          <w:tcPr>
            <w:tcW w:w="503" w:type="dxa"/>
            <w:vMerge w:val="restart"/>
            <w:shd w:val="clear" w:color="auto" w:fill="auto"/>
          </w:tcPr>
          <w:p w:rsidR="00000000" w:rsidRDefault="00000000" w:rsidP="00337118">
            <w:pPr>
              <w:jc w:val="both"/>
              <w:rPr>
                <w:b/>
                <w:sz w:val="20"/>
              </w:rPr>
            </w:pPr>
            <w:r>
              <w:rPr>
                <w:b/>
                <w:sz w:val="20"/>
              </w:rPr>
              <w:t>№ п/п</w:t>
            </w:r>
          </w:p>
        </w:tc>
        <w:tc>
          <w:tcPr>
            <w:tcW w:w="2117" w:type="dxa"/>
            <w:vMerge w:val="restart"/>
            <w:shd w:val="clear" w:color="auto" w:fill="auto"/>
          </w:tcPr>
          <w:p w:rsidR="00000000" w:rsidRDefault="00000000" w:rsidP="00337118">
            <w:pPr>
              <w:jc w:val="center"/>
              <w:rPr>
                <w:b/>
                <w:sz w:val="20"/>
              </w:rPr>
            </w:pPr>
            <w:r>
              <w:rPr>
                <w:b/>
                <w:sz w:val="20"/>
              </w:rPr>
              <w:t xml:space="preserve">Позиции </w:t>
            </w:r>
          </w:p>
          <w:p w:rsidR="00000000" w:rsidRDefault="00000000" w:rsidP="00337118">
            <w:pPr>
              <w:jc w:val="center"/>
              <w:rPr>
                <w:b/>
                <w:sz w:val="20"/>
              </w:rPr>
            </w:pPr>
            <w:r>
              <w:rPr>
                <w:b/>
                <w:sz w:val="20"/>
              </w:rPr>
              <w:t>приложения № 1</w:t>
            </w:r>
          </w:p>
        </w:tc>
        <w:tc>
          <w:tcPr>
            <w:tcW w:w="8142" w:type="dxa"/>
            <w:gridSpan w:val="2"/>
            <w:shd w:val="clear" w:color="auto" w:fill="auto"/>
          </w:tcPr>
          <w:p w:rsidR="00000000" w:rsidRDefault="00000000" w:rsidP="00337118">
            <w:pPr>
              <w:jc w:val="center"/>
              <w:rPr>
                <w:b/>
                <w:sz w:val="20"/>
              </w:rPr>
            </w:pPr>
            <w:r>
              <w:rPr>
                <w:b/>
                <w:sz w:val="20"/>
              </w:rPr>
              <w:t xml:space="preserve">Страна происхождения </w:t>
            </w:r>
          </w:p>
        </w:tc>
      </w:tr>
      <w:tr w:rsidR="0037335C" w:rsidTr="00337118">
        <w:tc>
          <w:tcPr>
            <w:tcW w:w="503" w:type="dxa"/>
            <w:vMerge/>
            <w:shd w:val="clear" w:color="auto" w:fill="auto"/>
          </w:tcPr>
          <w:p w:rsidR="00000000" w:rsidRDefault="00000000" w:rsidP="00337118">
            <w:pPr>
              <w:jc w:val="both"/>
              <w:rPr>
                <w:sz w:val="20"/>
              </w:rPr>
            </w:pPr>
          </w:p>
        </w:tc>
        <w:tc>
          <w:tcPr>
            <w:tcW w:w="2117" w:type="dxa"/>
            <w:vMerge/>
            <w:shd w:val="clear" w:color="auto" w:fill="auto"/>
          </w:tcPr>
          <w:p w:rsidR="00000000" w:rsidRDefault="00000000" w:rsidP="00337118">
            <w:pPr>
              <w:jc w:val="center"/>
              <w:rPr>
                <w:b/>
                <w:sz w:val="20"/>
              </w:rPr>
            </w:pPr>
          </w:p>
        </w:tc>
        <w:tc>
          <w:tcPr>
            <w:tcW w:w="4074" w:type="dxa"/>
            <w:shd w:val="clear" w:color="auto" w:fill="auto"/>
          </w:tcPr>
          <w:p w:rsidR="00000000" w:rsidRDefault="00000000" w:rsidP="00337118">
            <w:pPr>
              <w:jc w:val="center"/>
              <w:rPr>
                <w:b/>
                <w:sz w:val="20"/>
              </w:rPr>
            </w:pPr>
            <w:r>
              <w:rPr>
                <w:b/>
                <w:sz w:val="20"/>
              </w:rPr>
              <w:t xml:space="preserve">Российская Федерация </w:t>
            </w:r>
          </w:p>
        </w:tc>
        <w:tc>
          <w:tcPr>
            <w:tcW w:w="4068" w:type="dxa"/>
            <w:shd w:val="clear" w:color="auto" w:fill="auto"/>
          </w:tcPr>
          <w:p w:rsidR="00000000" w:rsidRDefault="00000000" w:rsidP="00337118">
            <w:pPr>
              <w:jc w:val="center"/>
              <w:rPr>
                <w:b/>
                <w:sz w:val="20"/>
              </w:rPr>
            </w:pPr>
            <w:r>
              <w:rPr>
                <w:b/>
                <w:sz w:val="20"/>
              </w:rPr>
              <w:t xml:space="preserve">Государства - члены Евразийского экономического союза </w:t>
            </w:r>
          </w:p>
          <w:p w:rsidR="00000000" w:rsidRDefault="00000000" w:rsidP="00337118">
            <w:pPr>
              <w:jc w:val="center"/>
              <w:rPr>
                <w:b/>
                <w:sz w:val="20"/>
              </w:rPr>
            </w:pPr>
            <w:r>
              <w:rPr>
                <w:b/>
                <w:sz w:val="20"/>
              </w:rPr>
              <w:t>(за исключением Российской Федерации)</w:t>
            </w:r>
          </w:p>
        </w:tc>
      </w:tr>
      <w:tr w:rsidR="0037335C" w:rsidTr="00337118">
        <w:tc>
          <w:tcPr>
            <w:tcW w:w="503" w:type="dxa"/>
            <w:shd w:val="clear" w:color="auto" w:fill="auto"/>
          </w:tcPr>
          <w:p w:rsidR="00000000" w:rsidRDefault="00000000" w:rsidP="00337118">
            <w:pPr>
              <w:jc w:val="both"/>
              <w:rPr>
                <w:sz w:val="20"/>
              </w:rPr>
            </w:pPr>
            <w:r>
              <w:rPr>
                <w:sz w:val="20"/>
              </w:rPr>
              <w:t>1</w:t>
            </w:r>
          </w:p>
        </w:tc>
        <w:tc>
          <w:tcPr>
            <w:tcW w:w="2117" w:type="dxa"/>
            <w:shd w:val="clear" w:color="auto" w:fill="auto"/>
          </w:tcPr>
          <w:p w:rsidR="00000000" w:rsidRDefault="00000000" w:rsidP="00337118">
            <w:pPr>
              <w:jc w:val="both"/>
              <w:rPr>
                <w:sz w:val="20"/>
              </w:rPr>
            </w:pPr>
            <w:r>
              <w:rPr>
                <w:sz w:val="20"/>
              </w:rPr>
              <w:t>позиции 1 – 145</w:t>
            </w:r>
          </w:p>
          <w:p w:rsidR="00000000" w:rsidRDefault="00000000" w:rsidP="00337118">
            <w:pPr>
              <w:jc w:val="both"/>
              <w:rPr>
                <w:i/>
                <w:sz w:val="20"/>
              </w:rPr>
            </w:pPr>
            <w:r>
              <w:rPr>
                <w:i/>
                <w:sz w:val="20"/>
              </w:rPr>
              <w:t>(промышленные</w:t>
            </w:r>
          </w:p>
          <w:p w:rsidR="00000000" w:rsidRDefault="00000000" w:rsidP="00337118">
            <w:pPr>
              <w:jc w:val="both"/>
              <w:rPr>
                <w:bCs/>
                <w:i/>
                <w:sz w:val="20"/>
              </w:rPr>
            </w:pPr>
            <w:r>
              <w:rPr>
                <w:i/>
                <w:sz w:val="20"/>
              </w:rPr>
              <w:t>товары)</w:t>
            </w:r>
          </w:p>
          <w:p w:rsidR="00000000" w:rsidRDefault="00000000" w:rsidP="00337118">
            <w:pPr>
              <w:jc w:val="both"/>
              <w:rPr>
                <w:bCs/>
                <w:i/>
                <w:sz w:val="20"/>
              </w:rPr>
            </w:pPr>
          </w:p>
          <w:p w:rsidR="00000000" w:rsidRDefault="00000000" w:rsidP="00337118">
            <w:pPr>
              <w:rPr>
                <w:highlight w:val="white"/>
              </w:rPr>
            </w:pPr>
            <w:r>
              <w:rPr>
                <w:i/>
                <w:iCs/>
                <w:color w:val="FF0000"/>
                <w:sz w:val="20"/>
                <w:highlight w:val="white"/>
              </w:rPr>
              <w:t>Указание информации о совокупном количестве баллов за выполнение (освоение) на территории Российской Федерации соответствующих операций (условий) в отношении товаров, указанных:</w:t>
            </w:r>
          </w:p>
          <w:p w:rsidR="00000000" w:rsidRDefault="00000000" w:rsidP="00337118">
            <w:pPr>
              <w:rPr>
                <w:highlight w:val="white"/>
              </w:rPr>
            </w:pPr>
            <w:r>
              <w:rPr>
                <w:i/>
                <w:iCs/>
                <w:color w:val="FF0000"/>
                <w:sz w:val="20"/>
                <w:highlight w:val="white"/>
              </w:rPr>
              <w:t>-  в позиции 139 реестровые записи в реестре российской промышленной продукции в отношении которых сформированы по 10 октября 2023 г. включительно, не требуется при осуществлении закупок таких товаров, извещение об осуществлении которых размещены в ЕИС по 31 декабря 2026 года включительно;</w:t>
            </w:r>
          </w:p>
          <w:p w:rsidR="00000000" w:rsidRDefault="00000000" w:rsidP="00337118">
            <w:pPr>
              <w:rPr>
                <w:bCs/>
                <w:i/>
                <w:color w:val="FF0000"/>
                <w:sz w:val="20"/>
                <w:highlight w:val="white"/>
              </w:rPr>
            </w:pPr>
            <w:r>
              <w:rPr>
                <w:i/>
                <w:iCs/>
                <w:color w:val="FF0000"/>
                <w:sz w:val="20"/>
                <w:highlight w:val="white"/>
              </w:rPr>
              <w:t xml:space="preserve">-  в позициях 16, 17, 140, 141, 144 реестровые записи в реестре российской промышленной продукции в отношении которых сформированы </w:t>
            </w:r>
          </w:p>
          <w:p w:rsidR="00000000" w:rsidRDefault="00000000" w:rsidP="00337118">
            <w:pPr>
              <w:pBdr>
                <w:top w:val="none" w:sz="0" w:space="0" w:color="000000"/>
                <w:left w:val="none" w:sz="0" w:space="0" w:color="000000"/>
                <w:bottom w:val="none" w:sz="0" w:space="0" w:color="000000"/>
                <w:right w:val="none" w:sz="0" w:space="0" w:color="000000"/>
              </w:pBdr>
              <w:rPr>
                <w:bCs/>
                <w:i/>
                <w:color w:val="FF0000"/>
                <w:sz w:val="20"/>
                <w:highlight w:val="white"/>
              </w:rPr>
            </w:pPr>
            <w:r>
              <w:rPr>
                <w:i/>
                <w:iCs/>
                <w:color w:val="FF0000"/>
                <w:sz w:val="20"/>
              </w:rPr>
              <w:t xml:space="preserve">по 30 июня 2026 г.  </w:t>
            </w:r>
            <w:r>
              <w:rPr>
                <w:i/>
                <w:iCs/>
                <w:color w:val="FF0000"/>
                <w:sz w:val="20"/>
                <w:highlight w:val="white"/>
              </w:rPr>
              <w:t xml:space="preserve">включительно, не </w:t>
            </w:r>
            <w:r>
              <w:rPr>
                <w:i/>
                <w:iCs/>
                <w:color w:val="FF0000"/>
                <w:sz w:val="20"/>
                <w:highlight w:val="white"/>
              </w:rPr>
              <w:lastRenderedPageBreak/>
              <w:t xml:space="preserve">требуется при осуществлении закупок таких товаров, извещение об осуществлении которых размещены в ЕИС </w:t>
            </w:r>
            <w:r>
              <w:rPr>
                <w:i/>
                <w:iCs/>
                <w:color w:val="FF0000"/>
                <w:sz w:val="20"/>
              </w:rPr>
              <w:t>по 30 ноября 2026 г. в</w:t>
            </w:r>
            <w:r>
              <w:rPr>
                <w:i/>
                <w:iCs/>
                <w:color w:val="FF0000"/>
                <w:sz w:val="20"/>
                <w:highlight w:val="white"/>
              </w:rPr>
              <w:t>ключительно.</w:t>
            </w:r>
          </w:p>
          <w:p w:rsidR="00000000" w:rsidRDefault="00000000" w:rsidP="00337118">
            <w:pPr>
              <w:rPr>
                <w:sz w:val="20"/>
                <w:highlight w:val="white"/>
              </w:rPr>
            </w:pPr>
          </w:p>
          <w:p w:rsidR="00000000" w:rsidRDefault="00000000" w:rsidP="00337118"/>
        </w:tc>
        <w:tc>
          <w:tcPr>
            <w:tcW w:w="4074" w:type="dxa"/>
            <w:shd w:val="clear" w:color="auto" w:fill="auto"/>
          </w:tcPr>
          <w:p w:rsidR="00000000" w:rsidRDefault="00000000" w:rsidP="00337118">
            <w:pPr>
              <w:jc w:val="both"/>
              <w:rPr>
                <w:sz w:val="20"/>
              </w:rPr>
            </w:pPr>
            <w:r>
              <w:rPr>
                <w:sz w:val="20"/>
              </w:rPr>
              <w:lastRenderedPageBreak/>
              <w:t>-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w:t>
            </w:r>
            <w:r>
              <w:rPr>
                <w:color w:val="FF0000"/>
                <w:sz w:val="20"/>
              </w:rPr>
              <w:t xml:space="preserve"> </w:t>
            </w:r>
            <w:r>
              <w:rPr>
                <w:sz w:val="20"/>
              </w:rPr>
              <w:t xml:space="preserve">(далее - реестр российской промышленной продукции),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 июля 2015 г. № 719 "О подтверждении производства российской промышленной продукции" </w:t>
            </w:r>
          </w:p>
          <w:p w:rsidR="00000000" w:rsidRDefault="00000000" w:rsidP="00337118">
            <w:pPr>
              <w:jc w:val="both"/>
              <w:rPr>
                <w:sz w:val="20"/>
              </w:rPr>
            </w:pPr>
            <w:r>
              <w:rPr>
                <w:sz w:val="20"/>
              </w:rPr>
              <w:t>ИЛИ</w:t>
            </w:r>
          </w:p>
          <w:p w:rsidR="00000000" w:rsidRDefault="00000000" w:rsidP="00337118">
            <w:pPr>
              <w:jc w:val="both"/>
              <w:rPr>
                <w:sz w:val="20"/>
              </w:rPr>
            </w:pPr>
            <w:r>
              <w:rPr>
                <w:sz w:val="20"/>
              </w:rPr>
              <w:t xml:space="preserve">- номер реестровой записи из реестра российской промышленной </w:t>
            </w:r>
            <w:proofErr w:type="gramStart"/>
            <w:r>
              <w:rPr>
                <w:sz w:val="20"/>
              </w:rPr>
              <w:t>продукции,  содержащей</w:t>
            </w:r>
            <w:proofErr w:type="gramEnd"/>
            <w:r>
              <w:rPr>
                <w:sz w:val="20"/>
              </w:rPr>
              <w:t xml:space="preserve"> в том числе:</w:t>
            </w:r>
          </w:p>
          <w:p w:rsidR="00000000" w:rsidRDefault="00000000" w:rsidP="00337118">
            <w:pPr>
              <w:ind w:hanging="39"/>
              <w:jc w:val="both"/>
              <w:rPr>
                <w:color w:val="auto"/>
                <w:sz w:val="20"/>
              </w:rPr>
            </w:pPr>
            <w:r>
              <w:rPr>
                <w:color w:val="auto"/>
                <w:sz w:val="20"/>
              </w:rPr>
              <w:t xml:space="preserve"> ▪ информацию о совокупном количестве баллов за выполнение (освоение) на территории Российской Федерации соответствующих операций (условий) (</w:t>
            </w:r>
            <w:r>
              <w:rPr>
                <w:b/>
                <w:i/>
                <w:color w:val="auto"/>
                <w:sz w:val="20"/>
              </w:rPr>
              <w:t>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Pr>
                <w:color w:val="auto"/>
                <w:sz w:val="20"/>
              </w:rPr>
              <w:t>), которое составляет или превышает значение, определенное постановлением Правительства Российской Федерации от 17 июля 2015 г. № 719 "О подтверждении производства российской промышленной продукции", включая значение, определенное для целей осуществления закупок (если постановлением Правительства Российской Федерации от 17 июля 2015 г. N 719 "О подтверждении производства российской промышленной продукции" в отношении такого товара определено значение для целей осуществления закупок);</w:t>
            </w:r>
          </w:p>
          <w:p w:rsidR="00000000" w:rsidRDefault="00000000" w:rsidP="00337118">
            <w:pPr>
              <w:jc w:val="both"/>
              <w:rPr>
                <w:b/>
                <w:bCs/>
                <w:i/>
                <w:color w:val="auto"/>
                <w:sz w:val="20"/>
              </w:rPr>
            </w:pPr>
            <w:r>
              <w:rPr>
                <w:color w:val="auto"/>
                <w:sz w:val="20"/>
              </w:rPr>
              <w:t xml:space="preserve">▪ информацию об уровне радиоэлектронной </w:t>
            </w:r>
            <w:r>
              <w:rPr>
                <w:color w:val="auto"/>
                <w:sz w:val="20"/>
              </w:rPr>
              <w:lastRenderedPageBreak/>
              <w:t xml:space="preserve">продукции </w:t>
            </w:r>
            <w:r>
              <w:rPr>
                <w:b/>
                <w:i/>
                <w:color w:val="auto"/>
                <w:sz w:val="20"/>
              </w:rPr>
              <w:t>(для товара, являющегося в соответствии с постановлением Правительства Российской Федерации от 17 июля 2015 г. №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rsidR="00000000" w:rsidRDefault="00000000" w:rsidP="00337118">
            <w:pPr>
              <w:jc w:val="both"/>
              <w:rPr>
                <w:color w:val="auto"/>
                <w:sz w:val="20"/>
              </w:rPr>
            </w:pPr>
            <w:r>
              <w:rPr>
                <w:color w:val="auto"/>
                <w:sz w:val="20"/>
                <w:highlight w:val="white"/>
              </w:rPr>
              <w:t xml:space="preserve">При осуществлении закупок товаров из числа специальных хирургических одноразовых стерильных изделий из нетканых материалов для защиты пациента и медицинского персонала, включенных в код 14.19.32.120 по Общероссийскому классификатору продукции по видам экономической деятельности </w:t>
            </w:r>
            <w:r>
              <w:rPr>
                <w:sz w:val="20"/>
                <w:highlight w:val="white"/>
              </w:rPr>
              <w:t xml:space="preserve">ОК 034-2014 (КПЕС 2008) (далее – ОКПД 2)  извещение об осуществлении которых  размещены в ЕИС по </w:t>
            </w:r>
            <w:r>
              <w:rPr>
                <w:sz w:val="20"/>
              </w:rPr>
              <w:t>30 июня 2026 го</w:t>
            </w:r>
            <w:r>
              <w:rPr>
                <w:sz w:val="20"/>
                <w:highlight w:val="white"/>
              </w:rPr>
              <w:t xml:space="preserve">да включительно, </w:t>
            </w:r>
            <w:r>
              <w:rPr>
                <w:color w:val="auto"/>
                <w:sz w:val="20"/>
                <w:highlight w:val="white"/>
              </w:rPr>
              <w:t>наряду с вышеуказанными документами и информацией, документом, подтверждающим происхождение являет</w:t>
            </w:r>
            <w:r>
              <w:rPr>
                <w:color w:val="auto"/>
                <w:sz w:val="20"/>
              </w:rPr>
              <w:t>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tc>
        <w:tc>
          <w:tcPr>
            <w:tcW w:w="4068" w:type="dxa"/>
            <w:shd w:val="clear" w:color="auto" w:fill="auto"/>
          </w:tcPr>
          <w:p w:rsidR="00000000" w:rsidRDefault="00000000" w:rsidP="00337118">
            <w:pPr>
              <w:jc w:val="both"/>
              <w:rPr>
                <w:bCs/>
                <w:sz w:val="20"/>
              </w:rPr>
            </w:pPr>
            <w:r>
              <w:rPr>
                <w:sz w:val="20"/>
              </w:rPr>
              <w:lastRenderedPageBreak/>
              <w:t xml:space="preserve">- </w:t>
            </w:r>
            <w:r>
              <w:rPr>
                <w:bCs/>
                <w:sz w:val="20"/>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000000" w:rsidRDefault="00000000" w:rsidP="00337118">
            <w:pPr>
              <w:jc w:val="both"/>
              <w:rPr>
                <w:sz w:val="20"/>
              </w:rPr>
            </w:pPr>
            <w:r>
              <w:rPr>
                <w:sz w:val="20"/>
              </w:rPr>
              <w:t xml:space="preserve">▪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Pr>
                <w:b/>
                <w:i/>
                <w:sz w:val="20"/>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Pr>
                <w:sz w:val="20"/>
              </w:rPr>
              <w:t>, которое составляет или превышает значение, определенное правом Евразийского экономического союза;</w:t>
            </w:r>
          </w:p>
          <w:p w:rsidR="00000000" w:rsidRDefault="00000000" w:rsidP="00337118">
            <w:pPr>
              <w:jc w:val="both"/>
              <w:rPr>
                <w:b/>
                <w:i/>
                <w:sz w:val="20"/>
              </w:rPr>
            </w:pPr>
            <w:r>
              <w:rPr>
                <w:sz w:val="20"/>
              </w:rPr>
              <w:t>▪ информацию об уровне радиоэлектронной продукции</w:t>
            </w:r>
            <w:r>
              <w:rPr>
                <w:b/>
                <w:i/>
                <w:sz w:val="20"/>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000000" w:rsidRDefault="00000000" w:rsidP="00337118">
            <w:pPr>
              <w:jc w:val="both"/>
              <w:rPr>
                <w:color w:val="auto"/>
                <w:sz w:val="20"/>
                <w:highlight w:val="white"/>
              </w:rPr>
            </w:pPr>
            <w:r>
              <w:rPr>
                <w:color w:val="auto"/>
                <w:sz w:val="20"/>
                <w:highlight w:val="white"/>
              </w:rPr>
              <w:t>При осуществлении закупок товаров из числа специальных хирургических одноразовых стерильных изделий из нетканых материалов для защиты пациента и медицинского персонала, включенных в код 14.19.32.120 по Общероссийскому классификатору продукции по видам экономической деятельности ОК 034-2014 (КПЕС 2008)</w:t>
            </w:r>
            <w:r>
              <w:rPr>
                <w:sz w:val="20"/>
                <w:highlight w:val="white"/>
              </w:rPr>
              <w:t xml:space="preserve"> извещение об осуществлении которых  размещены в ЕИС по </w:t>
            </w:r>
            <w:r>
              <w:rPr>
                <w:sz w:val="20"/>
              </w:rPr>
              <w:t>30 июня 2026</w:t>
            </w:r>
            <w:r>
              <w:rPr>
                <w:sz w:val="20"/>
                <w:highlight w:val="white"/>
              </w:rPr>
              <w:t xml:space="preserve"> года включительно</w:t>
            </w:r>
            <w:r>
              <w:rPr>
                <w:color w:val="auto"/>
                <w:sz w:val="20"/>
                <w:highlight w:val="white"/>
              </w:rPr>
              <w:t xml:space="preserve">, наряду с вышеуказанными документами и информацией, документом, подтверждающим происхождение является сертификат о происхождении товара, выданный уполномоченным органом (организацией) государства - члена </w:t>
            </w:r>
            <w:r>
              <w:rPr>
                <w:color w:val="auto"/>
                <w:sz w:val="20"/>
                <w:highlight w:val="white"/>
              </w:rPr>
              <w:lastRenderedPageBreak/>
              <w:t>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000000" w:rsidRDefault="00000000" w:rsidP="00337118">
            <w:pPr>
              <w:jc w:val="both"/>
              <w:rPr>
                <w:sz w:val="20"/>
              </w:rPr>
            </w:pPr>
          </w:p>
        </w:tc>
      </w:tr>
      <w:tr w:rsidR="0037335C" w:rsidTr="00337118">
        <w:tc>
          <w:tcPr>
            <w:tcW w:w="503" w:type="dxa"/>
            <w:shd w:val="clear" w:color="auto" w:fill="auto"/>
          </w:tcPr>
          <w:p w:rsidR="00000000" w:rsidRDefault="00000000" w:rsidP="00337118">
            <w:pPr>
              <w:jc w:val="both"/>
              <w:rPr>
                <w:sz w:val="20"/>
              </w:rPr>
            </w:pPr>
            <w:r>
              <w:rPr>
                <w:sz w:val="20"/>
              </w:rPr>
              <w:lastRenderedPageBreak/>
              <w:t>2</w:t>
            </w:r>
          </w:p>
        </w:tc>
        <w:tc>
          <w:tcPr>
            <w:tcW w:w="2117" w:type="dxa"/>
            <w:shd w:val="clear" w:color="auto" w:fill="auto"/>
          </w:tcPr>
          <w:p w:rsidR="00000000" w:rsidRDefault="00000000" w:rsidP="00337118">
            <w:pPr>
              <w:jc w:val="both"/>
              <w:rPr>
                <w:sz w:val="20"/>
              </w:rPr>
            </w:pPr>
            <w:r>
              <w:rPr>
                <w:sz w:val="20"/>
              </w:rPr>
              <w:t xml:space="preserve">позиция 146 </w:t>
            </w:r>
            <w:r>
              <w:rPr>
                <w:i/>
                <w:sz w:val="20"/>
              </w:rPr>
              <w:t>(программное обеспечение)</w:t>
            </w:r>
          </w:p>
        </w:tc>
        <w:tc>
          <w:tcPr>
            <w:tcW w:w="4074" w:type="dxa"/>
            <w:shd w:val="clear" w:color="auto" w:fill="auto"/>
          </w:tcPr>
          <w:p w:rsidR="00000000" w:rsidRDefault="00000000" w:rsidP="00337118">
            <w:pPr>
              <w:jc w:val="both"/>
              <w:rPr>
                <w:sz w:val="20"/>
              </w:rPr>
            </w:pPr>
            <w:r>
              <w:rPr>
                <w:sz w:val="20"/>
              </w:rPr>
              <w:t>- порядковый номер реестровой записи из единого реестра российских программ для электронных вычислительных машин и баз данных (далее - реестр российского программного обеспечения);</w:t>
            </w:r>
          </w:p>
          <w:p w:rsidR="00000000" w:rsidRDefault="00000000" w:rsidP="00337118">
            <w:pPr>
              <w:jc w:val="both"/>
              <w:rPr>
                <w:sz w:val="20"/>
              </w:rPr>
            </w:pPr>
            <w:r>
              <w:rPr>
                <w:sz w:val="20"/>
              </w:rPr>
              <w:t xml:space="preserve">- </w:t>
            </w:r>
            <w:r>
              <w:rPr>
                <w:color w:val="22272F"/>
                <w:sz w:val="20"/>
                <w:highlight w:val="white"/>
              </w:rPr>
              <w:t xml:space="preserve">порядковый номер реестровой записи из реестра российского программного обеспечения, содержащей информацию о соответствии программного обеспечения требованиям к доверенному программному обеспечению </w:t>
            </w:r>
            <w:r>
              <w:rPr>
                <w:b/>
                <w:bCs/>
                <w:i/>
                <w:iCs/>
                <w:sz w:val="20"/>
                <w:highlight w:val="white"/>
              </w:rPr>
              <w:t xml:space="preserve">(для программного обеспечения, соответствующего </w:t>
            </w:r>
            <w:r>
              <w:rPr>
                <w:b/>
                <w:bCs/>
                <w:i/>
                <w:iCs/>
                <w:color w:val="22272F"/>
                <w:sz w:val="20"/>
                <w:highlight w:val="white"/>
              </w:rPr>
              <w:t>требованиям, установленным </w:t>
            </w:r>
            <w:hyperlink r:id="rId9" w:anchor="/document/76849529/entry/237" w:tooltip="https://internet.garant.ru/#/document/76849529/entry/237" w:history="1">
              <w:r w:rsidRPr="00B67A9C">
                <w:rPr>
                  <w:rStyle w:val="af4"/>
                  <w:b/>
                  <w:bCs/>
                  <w:i/>
                  <w:iCs/>
                  <w:color w:val="000000"/>
                  <w:highlight w:val="white"/>
                </w:rPr>
                <w:t>частями</w:t>
              </w:r>
            </w:hyperlink>
            <w:r>
              <w:rPr>
                <w:b/>
                <w:bCs/>
                <w:i/>
                <w:iCs/>
                <w:color w:val="22272F"/>
                <w:sz w:val="20"/>
                <w:highlight w:val="white"/>
              </w:rPr>
              <w:t xml:space="preserve"> 3.7</w:t>
            </w:r>
            <w:r>
              <w:rPr>
                <w:b/>
                <w:bCs/>
                <w:i/>
                <w:iCs/>
                <w:color w:val="22272F"/>
                <w:sz w:val="20"/>
                <w:highlight w:val="white"/>
                <w:vertAlign w:val="superscript"/>
              </w:rPr>
              <w:t xml:space="preserve"> </w:t>
            </w:r>
            <w:r>
              <w:rPr>
                <w:b/>
                <w:bCs/>
                <w:i/>
                <w:iCs/>
                <w:color w:val="22272F"/>
                <w:sz w:val="20"/>
                <w:highlight w:val="white"/>
              </w:rPr>
              <w:t>и 3.9 статьи 2 Федерального закона </w:t>
            </w:r>
            <w:r>
              <w:rPr>
                <w:b/>
                <w:bCs/>
                <w:i/>
                <w:iCs/>
                <w:sz w:val="20"/>
                <w:highlight w:val="white"/>
              </w:rPr>
              <w:t xml:space="preserve"> Российской Федерации от 7 апреля 2025 г. № 58-ФЗ) </w:t>
            </w:r>
          </w:p>
        </w:tc>
        <w:tc>
          <w:tcPr>
            <w:tcW w:w="4068" w:type="dxa"/>
            <w:shd w:val="clear" w:color="auto" w:fill="auto"/>
          </w:tcPr>
          <w:p w:rsidR="00000000" w:rsidRDefault="00000000" w:rsidP="00337118">
            <w:pPr>
              <w:jc w:val="both"/>
              <w:rPr>
                <w:sz w:val="20"/>
              </w:rPr>
            </w:pPr>
            <w:r>
              <w:rPr>
                <w:sz w:val="20"/>
              </w:rPr>
              <w:t xml:space="preserve">-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 </w:t>
            </w:r>
          </w:p>
          <w:p w:rsidR="00000000" w:rsidRDefault="00000000" w:rsidP="00337118">
            <w:pPr>
              <w:jc w:val="both"/>
              <w:rPr>
                <w:sz w:val="20"/>
                <w:highlight w:val="white"/>
              </w:rPr>
            </w:pPr>
            <w:r>
              <w:rPr>
                <w:sz w:val="20"/>
              </w:rPr>
              <w:t xml:space="preserve"> - </w:t>
            </w:r>
            <w:r>
              <w:rPr>
                <w:color w:val="22272F"/>
                <w:sz w:val="20"/>
                <w:highlight w:val="white"/>
              </w:rPr>
              <w:t xml:space="preserve">порядковый номер реестровой записи из реестра евразийского программного обеспечения, содержащей информацию о соответствии программного обеспечения требованиям к доверенному программному обеспечению </w:t>
            </w:r>
            <w:r>
              <w:rPr>
                <w:b/>
                <w:bCs/>
                <w:i/>
                <w:iCs/>
                <w:sz w:val="20"/>
                <w:highlight w:val="white"/>
              </w:rPr>
              <w:t xml:space="preserve">(для программного обеспечения, соответствующего </w:t>
            </w:r>
            <w:r>
              <w:rPr>
                <w:b/>
                <w:bCs/>
                <w:i/>
                <w:iCs/>
                <w:color w:val="22272F"/>
                <w:sz w:val="20"/>
                <w:highlight w:val="white"/>
              </w:rPr>
              <w:t>требованиям, установленным </w:t>
            </w:r>
            <w:hyperlink r:id="rId10" w:anchor="/document/76849529/entry/237" w:tooltip="https://internet.garant.ru/#/document/76849529/entry/237" w:history="1">
              <w:r w:rsidRPr="00B67A9C">
                <w:rPr>
                  <w:rStyle w:val="af4"/>
                  <w:b/>
                  <w:bCs/>
                  <w:i/>
                  <w:iCs/>
                  <w:color w:val="000000"/>
                  <w:highlight w:val="white"/>
                </w:rPr>
                <w:t>частями</w:t>
              </w:r>
            </w:hyperlink>
            <w:r>
              <w:rPr>
                <w:b/>
                <w:bCs/>
                <w:i/>
                <w:iCs/>
                <w:color w:val="22272F"/>
                <w:sz w:val="20"/>
                <w:highlight w:val="white"/>
              </w:rPr>
              <w:t xml:space="preserve"> 3.7</w:t>
            </w:r>
            <w:r>
              <w:rPr>
                <w:b/>
                <w:bCs/>
                <w:i/>
                <w:iCs/>
                <w:color w:val="22272F"/>
                <w:sz w:val="20"/>
                <w:highlight w:val="white"/>
                <w:vertAlign w:val="superscript"/>
              </w:rPr>
              <w:t xml:space="preserve"> </w:t>
            </w:r>
            <w:r>
              <w:rPr>
                <w:b/>
                <w:bCs/>
                <w:i/>
                <w:iCs/>
                <w:color w:val="22272F"/>
                <w:sz w:val="20"/>
                <w:highlight w:val="white"/>
              </w:rPr>
              <w:t>и 3.9 статьи 2 Федерального закона </w:t>
            </w:r>
            <w:r>
              <w:rPr>
                <w:b/>
                <w:bCs/>
                <w:i/>
                <w:iCs/>
                <w:sz w:val="20"/>
                <w:highlight w:val="white"/>
              </w:rPr>
              <w:t xml:space="preserve"> Российской Федерации от 7 апреля 2025 г. № 58-ФЗ) </w:t>
            </w:r>
          </w:p>
        </w:tc>
      </w:tr>
    </w:tbl>
    <w:p w:rsidR="00000000" w:rsidRDefault="00000000" w:rsidP="00B67A9C">
      <w:pPr>
        <w:ind w:firstLine="708"/>
        <w:jc w:val="both"/>
        <w:rPr>
          <w:sz w:val="20"/>
        </w:rPr>
      </w:pPr>
    </w:p>
    <w:p w:rsidR="00000000" w:rsidRDefault="00000000" w:rsidP="00B67A9C">
      <w:pPr>
        <w:ind w:firstLine="709"/>
        <w:jc w:val="both"/>
        <w:rPr>
          <w:sz w:val="20"/>
        </w:rPr>
      </w:pPr>
    </w:p>
    <w:p w:rsidR="00000000" w:rsidRDefault="00000000" w:rsidP="00B67A9C">
      <w:pPr>
        <w:ind w:firstLine="709"/>
        <w:jc w:val="both"/>
        <w:rPr>
          <w:sz w:val="20"/>
        </w:rPr>
      </w:pPr>
      <w:r>
        <w:rPr>
          <w:sz w:val="20"/>
        </w:rPr>
        <w:t>4.1.8.2. Информация и документы, подтверждающие страну происхождения товара, в случае закупки товаров из приложения № 2 (ограничение закупок) Постановления № 1875:</w:t>
      </w:r>
    </w:p>
    <w:p w:rsidR="00000000" w:rsidRDefault="00000000" w:rsidP="00B67A9C">
      <w:pPr>
        <w:ind w:firstLine="709"/>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
        <w:gridCol w:w="2126"/>
        <w:gridCol w:w="4252"/>
        <w:gridCol w:w="3963"/>
      </w:tblGrid>
      <w:tr w:rsidR="0037335C" w:rsidTr="00337118">
        <w:tc>
          <w:tcPr>
            <w:tcW w:w="421" w:type="dxa"/>
            <w:vMerge w:val="restart"/>
            <w:shd w:val="clear" w:color="auto" w:fill="auto"/>
          </w:tcPr>
          <w:p w:rsidR="00000000" w:rsidRDefault="00000000" w:rsidP="00337118">
            <w:pPr>
              <w:jc w:val="both"/>
              <w:rPr>
                <w:b/>
                <w:sz w:val="20"/>
              </w:rPr>
            </w:pPr>
            <w:r>
              <w:rPr>
                <w:b/>
                <w:sz w:val="20"/>
              </w:rPr>
              <w:t>№ п/п</w:t>
            </w:r>
          </w:p>
        </w:tc>
        <w:tc>
          <w:tcPr>
            <w:tcW w:w="2126" w:type="dxa"/>
            <w:vMerge w:val="restart"/>
            <w:shd w:val="clear" w:color="auto" w:fill="auto"/>
          </w:tcPr>
          <w:p w:rsidR="00000000" w:rsidRDefault="00000000" w:rsidP="00337118">
            <w:pPr>
              <w:jc w:val="center"/>
              <w:rPr>
                <w:b/>
                <w:sz w:val="20"/>
              </w:rPr>
            </w:pPr>
            <w:r>
              <w:rPr>
                <w:b/>
                <w:sz w:val="20"/>
              </w:rPr>
              <w:t xml:space="preserve">Позиции </w:t>
            </w:r>
          </w:p>
          <w:p w:rsidR="00000000" w:rsidRDefault="00000000" w:rsidP="00337118">
            <w:pPr>
              <w:jc w:val="center"/>
              <w:rPr>
                <w:b/>
                <w:sz w:val="20"/>
              </w:rPr>
            </w:pPr>
            <w:r>
              <w:rPr>
                <w:b/>
                <w:sz w:val="20"/>
              </w:rPr>
              <w:t>приложения № 2</w:t>
            </w:r>
          </w:p>
        </w:tc>
        <w:tc>
          <w:tcPr>
            <w:tcW w:w="8215" w:type="dxa"/>
            <w:gridSpan w:val="2"/>
            <w:shd w:val="clear" w:color="auto" w:fill="auto"/>
          </w:tcPr>
          <w:p w:rsidR="00000000" w:rsidRDefault="00000000" w:rsidP="00337118">
            <w:pPr>
              <w:jc w:val="center"/>
              <w:rPr>
                <w:b/>
                <w:sz w:val="20"/>
              </w:rPr>
            </w:pPr>
            <w:r>
              <w:rPr>
                <w:b/>
                <w:sz w:val="20"/>
              </w:rPr>
              <w:t>Страна происхождения</w:t>
            </w:r>
          </w:p>
        </w:tc>
      </w:tr>
      <w:tr w:rsidR="0037335C" w:rsidTr="00337118">
        <w:tc>
          <w:tcPr>
            <w:tcW w:w="421" w:type="dxa"/>
            <w:vMerge/>
            <w:shd w:val="clear" w:color="auto" w:fill="auto"/>
          </w:tcPr>
          <w:p w:rsidR="00000000" w:rsidRDefault="00000000" w:rsidP="00337118">
            <w:pPr>
              <w:jc w:val="both"/>
              <w:rPr>
                <w:sz w:val="20"/>
              </w:rPr>
            </w:pPr>
          </w:p>
        </w:tc>
        <w:tc>
          <w:tcPr>
            <w:tcW w:w="2126" w:type="dxa"/>
            <w:vMerge/>
            <w:tcBorders>
              <w:bottom w:val="single" w:sz="4" w:space="0" w:color="auto"/>
            </w:tcBorders>
            <w:shd w:val="clear" w:color="auto" w:fill="auto"/>
          </w:tcPr>
          <w:p w:rsidR="00000000" w:rsidRDefault="00000000" w:rsidP="00337118">
            <w:pPr>
              <w:jc w:val="center"/>
              <w:rPr>
                <w:b/>
                <w:sz w:val="20"/>
              </w:rPr>
            </w:pPr>
          </w:p>
        </w:tc>
        <w:tc>
          <w:tcPr>
            <w:tcW w:w="4252" w:type="dxa"/>
            <w:shd w:val="clear" w:color="auto" w:fill="auto"/>
          </w:tcPr>
          <w:p w:rsidR="00000000" w:rsidRDefault="00000000" w:rsidP="00337118">
            <w:pPr>
              <w:jc w:val="center"/>
              <w:rPr>
                <w:b/>
                <w:sz w:val="20"/>
              </w:rPr>
            </w:pPr>
            <w:r>
              <w:rPr>
                <w:b/>
                <w:sz w:val="20"/>
              </w:rPr>
              <w:t xml:space="preserve">Российская Федерация </w:t>
            </w:r>
          </w:p>
        </w:tc>
        <w:tc>
          <w:tcPr>
            <w:tcW w:w="3963" w:type="dxa"/>
            <w:shd w:val="clear" w:color="auto" w:fill="auto"/>
          </w:tcPr>
          <w:p w:rsidR="00000000" w:rsidRDefault="00000000" w:rsidP="00337118">
            <w:pPr>
              <w:jc w:val="center"/>
              <w:rPr>
                <w:b/>
                <w:sz w:val="20"/>
              </w:rPr>
            </w:pPr>
            <w:r>
              <w:rPr>
                <w:b/>
                <w:sz w:val="20"/>
              </w:rPr>
              <w:t xml:space="preserve">Государства - члены Евразийского экономического союза </w:t>
            </w:r>
          </w:p>
          <w:p w:rsidR="00000000" w:rsidRDefault="00000000" w:rsidP="00337118">
            <w:pPr>
              <w:jc w:val="center"/>
              <w:rPr>
                <w:b/>
                <w:sz w:val="20"/>
              </w:rPr>
            </w:pPr>
            <w:r>
              <w:rPr>
                <w:b/>
                <w:sz w:val="20"/>
              </w:rPr>
              <w:t xml:space="preserve">(за исключением Российской </w:t>
            </w:r>
            <w:r>
              <w:rPr>
                <w:b/>
                <w:sz w:val="20"/>
              </w:rPr>
              <w:lastRenderedPageBreak/>
              <w:t>Федерации)</w:t>
            </w:r>
          </w:p>
        </w:tc>
      </w:tr>
      <w:tr w:rsidR="0037335C" w:rsidTr="00337118">
        <w:tc>
          <w:tcPr>
            <w:tcW w:w="421" w:type="dxa"/>
            <w:shd w:val="clear" w:color="auto" w:fill="auto"/>
          </w:tcPr>
          <w:p w:rsidR="00000000" w:rsidRDefault="00000000" w:rsidP="00337118">
            <w:pPr>
              <w:jc w:val="both"/>
              <w:rPr>
                <w:sz w:val="20"/>
              </w:rPr>
            </w:pPr>
            <w:r>
              <w:rPr>
                <w:sz w:val="20"/>
              </w:rPr>
              <w:lastRenderedPageBreak/>
              <w:t>1</w:t>
            </w:r>
          </w:p>
        </w:tc>
        <w:tc>
          <w:tcPr>
            <w:tcW w:w="2126" w:type="dxa"/>
            <w:tcBorders>
              <w:bottom w:val="single" w:sz="4" w:space="0" w:color="auto"/>
            </w:tcBorders>
            <w:shd w:val="clear" w:color="auto" w:fill="auto"/>
          </w:tcPr>
          <w:p w:rsidR="00000000" w:rsidRDefault="00000000" w:rsidP="00337118">
            <w:pPr>
              <w:jc w:val="both"/>
              <w:rPr>
                <w:sz w:val="20"/>
              </w:rPr>
            </w:pPr>
            <w:r>
              <w:rPr>
                <w:sz w:val="20"/>
              </w:rPr>
              <w:t>позиции 1 – 433</w:t>
            </w:r>
          </w:p>
          <w:p w:rsidR="00000000" w:rsidRDefault="00000000" w:rsidP="00337118">
            <w:pPr>
              <w:jc w:val="both"/>
              <w:rPr>
                <w:i/>
                <w:sz w:val="20"/>
              </w:rPr>
            </w:pPr>
            <w:r>
              <w:rPr>
                <w:i/>
                <w:sz w:val="20"/>
              </w:rPr>
              <w:t>(промышленные</w:t>
            </w:r>
          </w:p>
          <w:p w:rsidR="00000000" w:rsidRDefault="00000000" w:rsidP="00337118">
            <w:pPr>
              <w:jc w:val="both"/>
              <w:rPr>
                <w:i/>
                <w:sz w:val="20"/>
              </w:rPr>
            </w:pPr>
            <w:r>
              <w:rPr>
                <w:i/>
                <w:sz w:val="20"/>
              </w:rPr>
              <w:t>товары,</w:t>
            </w:r>
          </w:p>
          <w:p w:rsidR="00000000" w:rsidRDefault="00000000" w:rsidP="00337118">
            <w:pPr>
              <w:jc w:val="both"/>
              <w:rPr>
                <w:i/>
                <w:sz w:val="20"/>
              </w:rPr>
            </w:pPr>
            <w:r>
              <w:rPr>
                <w:i/>
                <w:sz w:val="20"/>
              </w:rPr>
              <w:t>радиоэлектронная</w:t>
            </w:r>
          </w:p>
          <w:p w:rsidR="00000000" w:rsidRDefault="00000000" w:rsidP="00337118">
            <w:pPr>
              <w:jc w:val="both"/>
              <w:rPr>
                <w:i/>
                <w:sz w:val="20"/>
              </w:rPr>
            </w:pPr>
            <w:r>
              <w:rPr>
                <w:i/>
                <w:sz w:val="20"/>
              </w:rPr>
              <w:t>продукция,</w:t>
            </w:r>
          </w:p>
          <w:p w:rsidR="00000000" w:rsidRDefault="00000000" w:rsidP="00337118">
            <w:pPr>
              <w:jc w:val="both"/>
              <w:rPr>
                <w:i/>
                <w:sz w:val="20"/>
              </w:rPr>
            </w:pPr>
            <w:r>
              <w:rPr>
                <w:i/>
                <w:sz w:val="20"/>
              </w:rPr>
              <w:t>медицинские</w:t>
            </w:r>
          </w:p>
          <w:p w:rsidR="00000000" w:rsidRDefault="00000000" w:rsidP="00337118">
            <w:pPr>
              <w:jc w:val="both"/>
              <w:rPr>
                <w:i/>
                <w:sz w:val="20"/>
              </w:rPr>
            </w:pPr>
            <w:r>
              <w:rPr>
                <w:i/>
                <w:sz w:val="20"/>
              </w:rPr>
              <w:t>изделия,</w:t>
            </w:r>
          </w:p>
          <w:p w:rsidR="00000000" w:rsidRDefault="00000000" w:rsidP="00337118">
            <w:pPr>
              <w:jc w:val="both"/>
              <w:rPr>
                <w:i/>
                <w:sz w:val="20"/>
              </w:rPr>
            </w:pPr>
            <w:r>
              <w:rPr>
                <w:i/>
                <w:sz w:val="20"/>
              </w:rPr>
              <w:t>лекарственные</w:t>
            </w:r>
          </w:p>
          <w:p w:rsidR="00000000" w:rsidRDefault="00000000" w:rsidP="00337118">
            <w:pPr>
              <w:jc w:val="both"/>
              <w:rPr>
                <w:i/>
                <w:sz w:val="20"/>
              </w:rPr>
            </w:pPr>
            <w:r>
              <w:rPr>
                <w:i/>
                <w:sz w:val="20"/>
              </w:rPr>
              <w:t>препараты)</w:t>
            </w:r>
          </w:p>
          <w:p w:rsidR="00000000" w:rsidRDefault="00000000" w:rsidP="00337118">
            <w:pPr>
              <w:jc w:val="both"/>
              <w:rPr>
                <w:i/>
                <w:color w:val="FF0000"/>
                <w:sz w:val="20"/>
              </w:rPr>
            </w:pPr>
          </w:p>
          <w:p w:rsidR="00000000" w:rsidRDefault="00000000" w:rsidP="00337118">
            <w:pPr>
              <w:rPr>
                <w:bCs/>
                <w:i/>
                <w:color w:val="FF0000"/>
                <w:sz w:val="20"/>
                <w:highlight w:val="white"/>
              </w:rPr>
            </w:pPr>
            <w:r>
              <w:rPr>
                <w:i/>
                <w:iCs/>
                <w:color w:val="FF0000"/>
                <w:sz w:val="20"/>
                <w:highlight w:val="white"/>
              </w:rPr>
              <w:t>Указание информации о совокупном количестве баллов за выполнение (освоение) на территории Российской Федерации соответствующих операций (условий) в отношении товаров, указанных:</w:t>
            </w:r>
          </w:p>
          <w:p w:rsidR="00000000" w:rsidRDefault="00000000" w:rsidP="00337118">
            <w:pPr>
              <w:rPr>
                <w:bCs/>
                <w:i/>
                <w:color w:val="FF0000"/>
                <w:sz w:val="20"/>
                <w:highlight w:val="white"/>
              </w:rPr>
            </w:pPr>
            <w:r>
              <w:rPr>
                <w:i/>
                <w:iCs/>
                <w:color w:val="FF0000"/>
                <w:sz w:val="20"/>
                <w:highlight w:val="white"/>
              </w:rPr>
              <w:t>-  в позициях 273, 276, 297-299, 304-306, 309-312, 314, 316, 318, 320, 334, 354, 382 реестровые записи в реестре российской промышленной продукции в отношении которых сформированы по 10 октября 2023 г. включительно, не требуется при осуществлении закупок таких товаров, извещение об осуществлении которых размещены в ЕИС по 31 декабря 2026 года включительно;</w:t>
            </w:r>
          </w:p>
          <w:p w:rsidR="00000000" w:rsidRDefault="00000000" w:rsidP="00337118">
            <w:pPr>
              <w:rPr>
                <w:bCs/>
                <w:i/>
                <w:color w:val="FF0000"/>
                <w:sz w:val="20"/>
                <w:highlight w:val="white"/>
              </w:rPr>
            </w:pPr>
            <w:r>
              <w:rPr>
                <w:i/>
                <w:iCs/>
                <w:color w:val="FF0000"/>
                <w:sz w:val="20"/>
                <w:highlight w:val="white"/>
              </w:rPr>
              <w:t>-  в позициях 205-210, 213-232, 235, 241, 248-251 реестровые записи в реестре российской промышленной продукции в отношении которых сформированы по 10 августа 2025 г. включительно, не требуется при осуществлении закупок таких товаров, извещение об осуществлении которых размещены в ЕИС   по 31 августа 2026 года включительно;</w:t>
            </w:r>
          </w:p>
          <w:p w:rsidR="00000000" w:rsidRDefault="00000000" w:rsidP="00337118">
            <w:pPr>
              <w:rPr>
                <w:bCs/>
                <w:i/>
                <w:strike/>
                <w:color w:val="FF0000"/>
                <w:sz w:val="20"/>
                <w:highlight w:val="white"/>
              </w:rPr>
            </w:pPr>
            <w:r>
              <w:rPr>
                <w:i/>
                <w:iCs/>
                <w:color w:val="FF0000"/>
                <w:sz w:val="20"/>
                <w:highlight w:val="white"/>
              </w:rPr>
              <w:t>-  в позициях 2, 172-179,189, 362-364, 366-</w:t>
            </w:r>
            <w:r>
              <w:rPr>
                <w:i/>
                <w:iCs/>
                <w:color w:val="FF0000"/>
                <w:sz w:val="20"/>
                <w:highlight w:val="white"/>
              </w:rPr>
              <w:lastRenderedPageBreak/>
              <w:t>378, 383-388, 390-415, 429-433 реестровые записи в реестре российской промышленной продукции в отношении которых сформированы по</w:t>
            </w:r>
          </w:p>
          <w:p w:rsidR="00000000" w:rsidRDefault="00000000" w:rsidP="00337118">
            <w:pPr>
              <w:pBdr>
                <w:top w:val="none" w:sz="0" w:space="0" w:color="000000"/>
                <w:left w:val="none" w:sz="0" w:space="0" w:color="000000"/>
                <w:bottom w:val="none" w:sz="0" w:space="0" w:color="000000"/>
                <w:right w:val="none" w:sz="0" w:space="0" w:color="000000"/>
              </w:pBdr>
              <w:spacing w:line="288" w:lineRule="atLeast"/>
              <w:rPr>
                <w:bCs/>
                <w:i/>
                <w:strike/>
                <w:color w:val="FF0000"/>
                <w:sz w:val="20"/>
                <w:highlight w:val="white"/>
              </w:rPr>
            </w:pPr>
            <w:r>
              <w:rPr>
                <w:i/>
                <w:iCs/>
                <w:color w:val="FF0000"/>
                <w:sz w:val="20"/>
              </w:rPr>
              <w:t xml:space="preserve">30 июня 2026 г. </w:t>
            </w:r>
            <w:r>
              <w:rPr>
                <w:sz w:val="20"/>
              </w:rPr>
              <w:br/>
            </w:r>
            <w:r>
              <w:rPr>
                <w:i/>
                <w:iCs/>
                <w:color w:val="FF0000"/>
                <w:sz w:val="20"/>
                <w:highlight w:val="white"/>
              </w:rPr>
              <w:t>включительно, не требуется при осуществлении закупок таких товаров, извещение об осуществлении которых размещены в ЕИС по</w:t>
            </w:r>
            <w:r>
              <w:rPr>
                <w:i/>
                <w:iCs/>
                <w:color w:val="FF0000"/>
                <w:sz w:val="20"/>
              </w:rPr>
              <w:t xml:space="preserve"> 30 ноября 2026 г. </w:t>
            </w:r>
            <w:r>
              <w:rPr>
                <w:sz w:val="20"/>
              </w:rPr>
              <w:br/>
            </w:r>
            <w:r>
              <w:rPr>
                <w:i/>
                <w:iCs/>
                <w:color w:val="FF0000"/>
                <w:sz w:val="20"/>
                <w:highlight w:val="white"/>
              </w:rPr>
              <w:t xml:space="preserve">включительно </w:t>
            </w:r>
          </w:p>
          <w:p w:rsidR="00000000" w:rsidRDefault="00000000" w:rsidP="00337118">
            <w:pPr>
              <w:jc w:val="both"/>
              <w:rPr>
                <w:strike/>
                <w:sz w:val="20"/>
                <w:highlight w:val="white"/>
              </w:rPr>
            </w:pPr>
          </w:p>
        </w:tc>
        <w:tc>
          <w:tcPr>
            <w:tcW w:w="4252" w:type="dxa"/>
            <w:shd w:val="clear" w:color="auto" w:fill="auto"/>
          </w:tcPr>
          <w:p w:rsidR="00000000" w:rsidRDefault="00000000" w:rsidP="00337118">
            <w:pPr>
              <w:jc w:val="both"/>
              <w:rPr>
                <w:sz w:val="20"/>
                <w:highlight w:val="white"/>
              </w:rPr>
            </w:pPr>
            <w:r>
              <w:rPr>
                <w:sz w:val="20"/>
                <w:highlight w:val="white"/>
              </w:rPr>
              <w:lastRenderedPageBreak/>
              <w:t xml:space="preserve">- номер реестровой записи из реестра российской промышленной продукции,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 июля 2015 г. № 719 "О подтверждении производства российской промышленной продукции" </w:t>
            </w:r>
          </w:p>
          <w:p w:rsidR="00000000" w:rsidRDefault="00000000" w:rsidP="00337118">
            <w:pPr>
              <w:jc w:val="both"/>
              <w:rPr>
                <w:sz w:val="20"/>
                <w:highlight w:val="white"/>
              </w:rPr>
            </w:pPr>
            <w:r>
              <w:rPr>
                <w:sz w:val="20"/>
                <w:highlight w:val="white"/>
              </w:rPr>
              <w:t>ИЛИ</w:t>
            </w:r>
          </w:p>
          <w:p w:rsidR="00000000" w:rsidRDefault="00000000" w:rsidP="00337118">
            <w:pPr>
              <w:jc w:val="both"/>
              <w:rPr>
                <w:sz w:val="20"/>
                <w:highlight w:val="white"/>
              </w:rPr>
            </w:pPr>
            <w:r>
              <w:rPr>
                <w:sz w:val="20"/>
                <w:highlight w:val="white"/>
              </w:rPr>
              <w:t>- номер реестровой записи из реестра российской промышленной продукции, содержащей в том числе:</w:t>
            </w:r>
          </w:p>
          <w:p w:rsidR="00000000" w:rsidRDefault="00000000" w:rsidP="00337118">
            <w:pPr>
              <w:ind w:hanging="39"/>
              <w:jc w:val="both"/>
              <w:rPr>
                <w:color w:val="auto"/>
                <w:sz w:val="20"/>
                <w:highlight w:val="white"/>
              </w:rPr>
            </w:pPr>
            <w:r>
              <w:rPr>
                <w:color w:val="auto"/>
                <w:sz w:val="20"/>
                <w:highlight w:val="white"/>
              </w:rPr>
              <w:t xml:space="preserve"> ▪ информацию о совокупном количестве баллов за выполнение (освоение) на территории Российской Федерации соответствующих операций (условий) (</w:t>
            </w:r>
            <w:r>
              <w:rPr>
                <w:b/>
                <w:i/>
                <w:color w:val="auto"/>
                <w:sz w:val="20"/>
                <w:highlight w:val="white"/>
              </w:rPr>
              <w:t>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Pr>
                <w:color w:val="auto"/>
                <w:sz w:val="20"/>
                <w:highlight w:val="white"/>
              </w:rPr>
              <w:t>), которое составляет или превышает значение, определенное постановлением Правительства Российской Федерации от 17 июля 2015 г. № 719 "О подтверждении производства российской промышленной продукции" включая значение, определенное для целей осуществления закупок (если постановлением Правительства Российской Федерации от 17 июля 2015 г. N 719 "О подтверждении производства российской промышленной продукции" в отношении такого товара определено значение для целей осуществления закупок);</w:t>
            </w:r>
          </w:p>
          <w:p w:rsidR="00000000" w:rsidRDefault="00000000" w:rsidP="00337118">
            <w:pPr>
              <w:jc w:val="both"/>
              <w:rPr>
                <w:b/>
                <w:bCs/>
                <w:i/>
                <w:color w:val="auto"/>
                <w:sz w:val="20"/>
                <w:highlight w:val="white"/>
              </w:rPr>
            </w:pPr>
            <w:r>
              <w:rPr>
                <w:color w:val="auto"/>
                <w:sz w:val="20"/>
                <w:highlight w:val="white"/>
              </w:rPr>
              <w:t xml:space="preserve">▪ информацию об уровне радиоэлектронной продукции </w:t>
            </w:r>
            <w:r>
              <w:rPr>
                <w:b/>
                <w:i/>
                <w:color w:val="auto"/>
                <w:sz w:val="20"/>
                <w:highlight w:val="white"/>
              </w:rPr>
              <w:t>(для товара, являющегося в соответствии с постановлением Правительства Российской Федерации от 17 июля 2015 г. №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rsidR="00000000" w:rsidRDefault="00000000" w:rsidP="00337118">
            <w:pPr>
              <w:jc w:val="both"/>
              <w:rPr>
                <w:b/>
                <w:i/>
                <w:sz w:val="20"/>
                <w:highlight w:val="white"/>
              </w:rPr>
            </w:pPr>
            <w:r>
              <w:rPr>
                <w:sz w:val="20"/>
                <w:highlight w:val="white"/>
              </w:rPr>
              <w:t xml:space="preserve">-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Минпромторгом России </w:t>
            </w:r>
            <w:r>
              <w:rPr>
                <w:b/>
                <w:i/>
                <w:sz w:val="20"/>
                <w:highlight w:val="white"/>
              </w:rPr>
              <w:t>(при осуществлении закупок товара, указанного в позиции 433).</w:t>
            </w:r>
          </w:p>
          <w:p w:rsidR="00000000" w:rsidRDefault="00000000" w:rsidP="00337118">
            <w:pPr>
              <w:jc w:val="both"/>
              <w:rPr>
                <w:strike/>
                <w:color w:val="auto"/>
                <w:sz w:val="20"/>
                <w:highlight w:val="white"/>
              </w:rPr>
            </w:pPr>
          </w:p>
          <w:p w:rsidR="00000000" w:rsidRDefault="00000000" w:rsidP="00337118">
            <w:pPr>
              <w:jc w:val="both"/>
              <w:rPr>
                <w:b/>
                <w:bCs/>
                <w:i/>
                <w:sz w:val="20"/>
                <w:highlight w:val="white"/>
              </w:rPr>
            </w:pPr>
            <w:r>
              <w:rPr>
                <w:color w:val="auto"/>
                <w:sz w:val="20"/>
                <w:highlight w:val="white"/>
              </w:rPr>
              <w:t xml:space="preserve">При осуществлении закупок товаров из числа  мебели медицинской, включая хирургическую, стоматологическую или ветеринарную, и ее частей, включенных в коды 32.50.30.110, 32.50.30.119, 32.50.50 по ОКПД 2 (за исключением кровати больничной механической, соответствующей коду 120210 вида медицинского изделия в соответствии с </w:t>
            </w:r>
            <w:r>
              <w:rPr>
                <w:color w:val="auto"/>
                <w:sz w:val="20"/>
                <w:highlight w:val="white"/>
              </w:rPr>
              <w:lastRenderedPageBreak/>
              <w:t xml:space="preserve">номенклатурной классификацией медицинских изделий, утвержденной Министерством здравоохранения Российской Федерации (далее - номенклатурная классификация), кровати больничной стандартной с электроприводом, соответствующей коду 136210 вида медицинского изделия в соответствии с номенклатурной классификацией, стеллажа для палаты пациента, соответствующего коду 156900 вида медицинского изделия в соответствии с номенклатурной классификацией, шкафа вытяжного, соответствующего коду 181470 вида медицинского изделия в соответствии с номенклатурной классификацией, ширмы прикроватной, соответствующей коду 184200 вида медицинского изделия в соответствии с номенклатурной классификацией, стеллажа общего назначения, соответствующего коду 260470 вида медицинского изделия в соответствии с номенклатурной классификацией, шкафа для сушки и хранения эндоскопов, соответствующего коду 271740 вида медицинского изделия в соответствии с номенклатурной классификацией), а также товаров, указанных в позициях с 362-378, 383-388, 390-399 и 433 </w:t>
            </w:r>
            <w:r>
              <w:rPr>
                <w:sz w:val="20"/>
                <w:highlight w:val="white"/>
              </w:rPr>
              <w:t xml:space="preserve">извещение об осуществлении которых  размещены в ЕИС по  </w:t>
            </w:r>
            <w:r>
              <w:rPr>
                <w:sz w:val="20"/>
              </w:rPr>
              <w:t xml:space="preserve">30 июня 2026 </w:t>
            </w:r>
            <w:r>
              <w:rPr>
                <w:sz w:val="20"/>
                <w:highlight w:val="white"/>
              </w:rPr>
              <w:t xml:space="preserve">года включительно, </w:t>
            </w:r>
            <w:r>
              <w:rPr>
                <w:color w:val="auto"/>
                <w:sz w:val="20"/>
                <w:highlight w:val="white"/>
              </w:rPr>
              <w:t xml:space="preserve"> наряду с вышеуказанными документами и информацией, документом, подтверждающим происхождение является сертификат о происхождении товара,</w:t>
            </w:r>
            <w:r>
              <w:rPr>
                <w:color w:val="FF0000"/>
                <w:sz w:val="20"/>
                <w:highlight w:val="white"/>
              </w:rPr>
              <w:t xml:space="preserve"> </w:t>
            </w:r>
            <w:r>
              <w:rPr>
                <w:bCs/>
                <w:iCs/>
                <w:color w:val="auto"/>
                <w:sz w:val="20"/>
                <w:highlight w:val="white"/>
              </w:rPr>
              <w:t xml:space="preserve">выданный уполномоченным органом (организацией) государства - члена Евразийского экономического союза по форме, установленной </w:t>
            </w:r>
            <w:hyperlink r:id="rId11" w:tooltip="https://login.consultant.ru/link/?req=doc&amp;base=LAW&amp;n=451182&amp;dst=100024" w:history="1">
              <w:r>
                <w:rPr>
                  <w:bCs/>
                  <w:iCs/>
                  <w:color w:val="auto"/>
                  <w:sz w:val="20"/>
                  <w:highlight w:val="white"/>
                </w:rPr>
                <w:t>Правилами</w:t>
              </w:r>
            </w:hyperlink>
            <w:r>
              <w:rPr>
                <w:bCs/>
                <w:iCs/>
                <w:color w:val="auto"/>
                <w:sz w:val="20"/>
                <w:highlight w:val="white"/>
              </w:rPr>
              <w:t xml:space="preserve">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w:t>
            </w:r>
            <w:r>
              <w:rPr>
                <w:color w:val="auto"/>
                <w:sz w:val="20"/>
                <w:highlight w:val="white"/>
              </w:rPr>
              <w:t>(далее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r>
              <w:rPr>
                <w:b/>
                <w:i/>
                <w:sz w:val="20"/>
                <w:highlight w:val="white"/>
              </w:rPr>
              <w:t xml:space="preserve"> </w:t>
            </w:r>
          </w:p>
          <w:p w:rsidR="00000000" w:rsidRDefault="00000000" w:rsidP="00337118">
            <w:pPr>
              <w:jc w:val="both"/>
              <w:rPr>
                <w:sz w:val="20"/>
                <w:highlight w:val="white"/>
              </w:rPr>
            </w:pPr>
          </w:p>
          <w:p w:rsidR="00000000" w:rsidRDefault="00000000" w:rsidP="00337118">
            <w:pPr>
              <w:jc w:val="both"/>
              <w:rPr>
                <w:strike/>
                <w:sz w:val="20"/>
                <w:highlight w:val="white"/>
              </w:rPr>
            </w:pPr>
          </w:p>
        </w:tc>
        <w:tc>
          <w:tcPr>
            <w:tcW w:w="3963" w:type="dxa"/>
            <w:shd w:val="clear" w:color="auto" w:fill="auto"/>
          </w:tcPr>
          <w:p w:rsidR="00000000" w:rsidRDefault="00000000" w:rsidP="00337118">
            <w:pPr>
              <w:rPr>
                <w:bCs/>
                <w:sz w:val="20"/>
                <w:highlight w:val="white"/>
              </w:rPr>
            </w:pPr>
            <w:r>
              <w:rPr>
                <w:sz w:val="20"/>
                <w:highlight w:val="white"/>
              </w:rPr>
              <w:lastRenderedPageBreak/>
              <w:t xml:space="preserve">- </w:t>
            </w:r>
            <w:r>
              <w:rPr>
                <w:bCs/>
                <w:sz w:val="20"/>
                <w:highlight w:val="white"/>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000000" w:rsidRDefault="00000000" w:rsidP="00337118">
            <w:pPr>
              <w:rPr>
                <w:sz w:val="20"/>
                <w:highlight w:val="white"/>
              </w:rPr>
            </w:pPr>
            <w:r>
              <w:rPr>
                <w:sz w:val="20"/>
                <w:highlight w:val="white"/>
              </w:rPr>
              <w:t xml:space="preserve"> ▪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Pr>
                <w:b/>
                <w:i/>
                <w:sz w:val="20"/>
                <w:highlight w:val="white"/>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Pr>
                <w:sz w:val="20"/>
                <w:highlight w:val="white"/>
              </w:rPr>
              <w:t>, которое составляет или превышает значение, определенное правом Евразийского экономического союза;</w:t>
            </w:r>
          </w:p>
          <w:p w:rsidR="00000000" w:rsidRDefault="00000000" w:rsidP="00337118">
            <w:pPr>
              <w:rPr>
                <w:sz w:val="20"/>
                <w:highlight w:val="white"/>
              </w:rPr>
            </w:pPr>
            <w:r>
              <w:rPr>
                <w:sz w:val="20"/>
                <w:highlight w:val="white"/>
              </w:rPr>
              <w:t xml:space="preserve"> ▪ информацию об уровне радиоэлектронной продукции</w:t>
            </w:r>
            <w:r>
              <w:rPr>
                <w:b/>
                <w:i/>
                <w:sz w:val="20"/>
                <w:highlight w:val="white"/>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000000" w:rsidRDefault="00000000" w:rsidP="00337118">
            <w:pPr>
              <w:rPr>
                <w:b/>
                <w:bCs/>
                <w:i/>
                <w:sz w:val="20"/>
                <w:highlight w:val="white"/>
              </w:rPr>
            </w:pPr>
            <w:r>
              <w:rPr>
                <w:sz w:val="20"/>
                <w:highlight w:val="white"/>
              </w:rPr>
              <w:t xml:space="preserve">-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Минпромторгом России </w:t>
            </w:r>
            <w:r>
              <w:rPr>
                <w:b/>
                <w:i/>
                <w:sz w:val="20"/>
                <w:highlight w:val="white"/>
              </w:rPr>
              <w:t>(при осуществлении закупок товара, указанного в позиции 433).</w:t>
            </w:r>
          </w:p>
          <w:p w:rsidR="00000000" w:rsidRDefault="00000000" w:rsidP="00337118">
            <w:pPr>
              <w:rPr>
                <w:b/>
                <w:bCs/>
                <w:i/>
                <w:sz w:val="20"/>
                <w:highlight w:val="white"/>
              </w:rPr>
            </w:pPr>
          </w:p>
          <w:p w:rsidR="00000000" w:rsidRDefault="00000000" w:rsidP="00337118">
            <w:pPr>
              <w:jc w:val="both"/>
              <w:rPr>
                <w:b/>
                <w:bCs/>
                <w:i/>
                <w:sz w:val="20"/>
                <w:highlight w:val="white"/>
              </w:rPr>
            </w:pPr>
            <w:r>
              <w:rPr>
                <w:color w:val="auto"/>
                <w:sz w:val="20"/>
                <w:highlight w:val="white"/>
              </w:rPr>
              <w:t>При осуществлении закупок товаров из числа м</w:t>
            </w:r>
            <w:r>
              <w:rPr>
                <w:sz w:val="20"/>
                <w:highlight w:val="white"/>
              </w:rPr>
              <w:t xml:space="preserve">ебели медицинской, включая хирургическую, стоматологическую или ветеринарную, и ее частей, включенных в коды 32.50.30.110, 32.50.30.119, 32.50.50 по ОКПД 2 (за исключением кровати больничной механической, соответствующей коду 120210 вида медицинского изделия в соответствии с номенклатурной классификацией медицинских изделий, утвержденной Министерством здравоохранения Российской Федерации (далее - номенклатурная классификация), кровати больничной стандартной с электроприводом, соответствующей коду 136210 вида медицинского изделия в соответствии с номенклатурной классификацией, стеллажа для палаты пациента, соответствующего коду 156900 вида медицинского изделия в соответствии с номенклатурной классификацией, шкафа вытяжного, соответствующего коду 181470 вида медицинского изделия в соответствии </w:t>
            </w:r>
            <w:r>
              <w:rPr>
                <w:sz w:val="20"/>
                <w:highlight w:val="white"/>
              </w:rPr>
              <w:lastRenderedPageBreak/>
              <w:t xml:space="preserve">с номенклатурной классификацией, ширмы прикроватной, соответствующей коду 184200 вида медицинского изделия в соответствии с номенклатурной классификацией, стеллажа общего назначения, соответствующего коду 260470 вида медицинского изделия в соответствии с номенклатурной классификацией, шкафа для сушки и хранения эндоскопов, соответствующего коду 271740 вида медицинского изделия в соответствии с номенклатурной классификацией), а также товаров, указанных в позициях с </w:t>
            </w:r>
            <w:r>
              <w:rPr>
                <w:color w:val="auto"/>
                <w:sz w:val="20"/>
                <w:highlight w:val="white"/>
              </w:rPr>
              <w:t xml:space="preserve">362-378, 383-388, 390-399 и 433 </w:t>
            </w:r>
            <w:r>
              <w:rPr>
                <w:sz w:val="20"/>
                <w:highlight w:val="white"/>
              </w:rPr>
              <w:t xml:space="preserve">извещение об осуществлении которых  размещены в ЕИС по </w:t>
            </w:r>
            <w:r>
              <w:rPr>
                <w:sz w:val="20"/>
              </w:rPr>
              <w:t xml:space="preserve">30 июня 2026 года включительно, </w:t>
            </w:r>
            <w:r>
              <w:rPr>
                <w:sz w:val="20"/>
                <w:highlight w:val="white"/>
              </w:rPr>
              <w:t>наряду с вышеуказанными документами и информацией, документом, подтверждающим происхождение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r>
              <w:rPr>
                <w:b/>
                <w:i/>
                <w:sz w:val="20"/>
                <w:highlight w:val="white"/>
              </w:rPr>
              <w:t xml:space="preserve"> </w:t>
            </w:r>
          </w:p>
          <w:p w:rsidR="00000000" w:rsidRDefault="00000000" w:rsidP="00337118">
            <w:pPr>
              <w:rPr>
                <w:strike/>
                <w:sz w:val="20"/>
                <w:highlight w:val="white"/>
              </w:rPr>
            </w:pPr>
          </w:p>
        </w:tc>
      </w:tr>
      <w:tr w:rsidR="0037335C" w:rsidTr="00337118">
        <w:tc>
          <w:tcPr>
            <w:tcW w:w="421" w:type="dxa"/>
            <w:shd w:val="clear" w:color="auto" w:fill="auto"/>
          </w:tcPr>
          <w:p w:rsidR="00000000" w:rsidRDefault="00000000" w:rsidP="00337118">
            <w:pPr>
              <w:jc w:val="both"/>
              <w:rPr>
                <w:sz w:val="20"/>
              </w:rPr>
            </w:pPr>
            <w:r>
              <w:rPr>
                <w:sz w:val="20"/>
              </w:rPr>
              <w:lastRenderedPageBreak/>
              <w:t>2</w:t>
            </w:r>
          </w:p>
        </w:tc>
        <w:tc>
          <w:tcPr>
            <w:tcW w:w="2126" w:type="dxa"/>
            <w:tcBorders>
              <w:top w:val="single" w:sz="4" w:space="0" w:color="auto"/>
            </w:tcBorders>
            <w:shd w:val="clear" w:color="auto" w:fill="auto"/>
          </w:tcPr>
          <w:p w:rsidR="00000000" w:rsidRDefault="00000000" w:rsidP="00337118">
            <w:pPr>
              <w:jc w:val="both"/>
              <w:rPr>
                <w:sz w:val="20"/>
                <w:highlight w:val="white"/>
              </w:rPr>
            </w:pPr>
            <w:r>
              <w:rPr>
                <w:sz w:val="20"/>
                <w:highlight w:val="white"/>
              </w:rPr>
              <w:t xml:space="preserve">позиции 400-415 и 429-432 </w:t>
            </w:r>
            <w:r>
              <w:rPr>
                <w:i/>
                <w:sz w:val="20"/>
                <w:highlight w:val="white"/>
              </w:rPr>
              <w:t>(медицинские изделия)</w:t>
            </w:r>
            <w:r>
              <w:rPr>
                <w:sz w:val="20"/>
                <w:highlight w:val="white"/>
              </w:rPr>
              <w:t xml:space="preserve"> </w:t>
            </w:r>
          </w:p>
          <w:p w:rsidR="00000000" w:rsidRDefault="00000000" w:rsidP="00337118">
            <w:pPr>
              <w:jc w:val="both"/>
              <w:rPr>
                <w:i/>
                <w:color w:val="FF0000"/>
                <w:sz w:val="20"/>
                <w:highlight w:val="white"/>
              </w:rPr>
            </w:pPr>
          </w:p>
          <w:p w:rsidR="00000000" w:rsidRDefault="00000000" w:rsidP="00337118">
            <w:pPr>
              <w:jc w:val="both"/>
              <w:rPr>
                <w:bCs/>
                <w:i/>
                <w:strike/>
                <w:color w:val="FF0000"/>
                <w:sz w:val="20"/>
              </w:rPr>
            </w:pPr>
            <w:r>
              <w:rPr>
                <w:i/>
                <w:color w:val="FF0000"/>
                <w:sz w:val="20"/>
                <w:highlight w:val="white"/>
              </w:rPr>
              <w:t xml:space="preserve">при осуществлении закупок, извещения об осуществлении которых размещены в ЕИС по </w:t>
            </w:r>
            <w:r>
              <w:rPr>
                <w:i/>
                <w:color w:val="FF0000"/>
                <w:sz w:val="20"/>
              </w:rPr>
              <w:t>30 июня 2026 г. включи</w:t>
            </w:r>
            <w:r>
              <w:rPr>
                <w:i/>
                <w:color w:val="FF0000"/>
                <w:sz w:val="20"/>
                <w:highlight w:val="white"/>
              </w:rPr>
              <w:t>тельно</w:t>
            </w:r>
          </w:p>
        </w:tc>
        <w:tc>
          <w:tcPr>
            <w:tcW w:w="8215" w:type="dxa"/>
            <w:gridSpan w:val="2"/>
            <w:shd w:val="clear" w:color="auto" w:fill="auto"/>
          </w:tcPr>
          <w:p w:rsidR="00000000" w:rsidRDefault="00000000" w:rsidP="00337118">
            <w:pPr>
              <w:jc w:val="both"/>
              <w:rPr>
                <w:sz w:val="20"/>
                <w:highlight w:val="white"/>
              </w:rPr>
            </w:pPr>
            <w:r>
              <w:rPr>
                <w:sz w:val="20"/>
                <w:highlight w:val="white"/>
              </w:rPr>
              <w:t>-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000000" w:rsidRDefault="00000000" w:rsidP="00337118">
            <w:pPr>
              <w:jc w:val="both"/>
              <w:rPr>
                <w:sz w:val="20"/>
                <w:highlight w:val="white"/>
              </w:rPr>
            </w:pPr>
            <w:r>
              <w:rPr>
                <w:sz w:val="20"/>
                <w:highlight w:val="white"/>
              </w:rPr>
              <w:t>- акт экспертизы Торгово-промышленной палаты Российской Федерации или аналогичный документ, выданный уполномоченным органом (организацией) государства - члена Евразийского экономического союза, содержащий информацию о рассчитанной в соответствии с подпунктом "в" пункта 2.4 Правил определения страны происхождения товаров доле стоимости используемых для производства одной единицы медицинского изделия иностранных материалов (сырья) в цене конечной продукции, величина которой не превышает предельные значения согласно приложению N 4;</w:t>
            </w:r>
          </w:p>
          <w:p w:rsidR="00000000" w:rsidRDefault="00000000" w:rsidP="00337118">
            <w:pPr>
              <w:jc w:val="both"/>
              <w:rPr>
                <w:sz w:val="20"/>
                <w:highlight w:val="white"/>
              </w:rPr>
            </w:pPr>
            <w:r>
              <w:rPr>
                <w:sz w:val="20"/>
                <w:highlight w:val="white"/>
              </w:rPr>
              <w:t>- реквизиты (дата и номер) документа, подтверждающего соответствие производства медицинских изделий требованиям ГОСТ ISO 13485-2017 "Межгосударственный стандарт. Изделия медицинские. Системы менеджмента качества. Требования для целей регулирования".</w:t>
            </w:r>
          </w:p>
        </w:tc>
      </w:tr>
      <w:tr w:rsidR="0037335C" w:rsidTr="00337118">
        <w:tc>
          <w:tcPr>
            <w:tcW w:w="421" w:type="dxa"/>
            <w:shd w:val="clear" w:color="auto" w:fill="auto"/>
          </w:tcPr>
          <w:p w:rsidR="00000000" w:rsidRDefault="00000000" w:rsidP="00337118">
            <w:pPr>
              <w:jc w:val="both"/>
              <w:rPr>
                <w:sz w:val="20"/>
              </w:rPr>
            </w:pPr>
            <w:r>
              <w:rPr>
                <w:sz w:val="20"/>
              </w:rPr>
              <w:t>3</w:t>
            </w:r>
          </w:p>
        </w:tc>
        <w:tc>
          <w:tcPr>
            <w:tcW w:w="2126" w:type="dxa"/>
            <w:shd w:val="clear" w:color="auto" w:fill="auto"/>
          </w:tcPr>
          <w:p w:rsidR="00000000" w:rsidRDefault="00000000" w:rsidP="00337118">
            <w:pPr>
              <w:jc w:val="both"/>
              <w:rPr>
                <w:sz w:val="20"/>
              </w:rPr>
            </w:pPr>
            <w:r>
              <w:rPr>
                <w:sz w:val="20"/>
              </w:rPr>
              <w:t xml:space="preserve">позиции 434-465 </w:t>
            </w:r>
            <w:r>
              <w:rPr>
                <w:i/>
                <w:sz w:val="20"/>
              </w:rPr>
              <w:lastRenderedPageBreak/>
              <w:t>(пищевые продукты)</w:t>
            </w:r>
          </w:p>
        </w:tc>
        <w:tc>
          <w:tcPr>
            <w:tcW w:w="8215" w:type="dxa"/>
            <w:gridSpan w:val="2"/>
            <w:shd w:val="clear" w:color="auto" w:fill="auto"/>
          </w:tcPr>
          <w:p w:rsidR="00000000" w:rsidRDefault="00000000" w:rsidP="00337118">
            <w:pPr>
              <w:jc w:val="both"/>
              <w:rPr>
                <w:sz w:val="20"/>
              </w:rPr>
            </w:pPr>
            <w:r>
              <w:rPr>
                <w:sz w:val="20"/>
              </w:rPr>
              <w:lastRenderedPageBreak/>
              <w:t xml:space="preserve">- указание наименования страны происхождения товара в соответствии с общероссийским </w:t>
            </w:r>
            <w:r>
              <w:rPr>
                <w:sz w:val="20"/>
              </w:rPr>
              <w:lastRenderedPageBreak/>
              <w:t xml:space="preserve">классификатором, используемым для идентификации стран мира </w:t>
            </w:r>
            <w:r>
              <w:rPr>
                <w:b/>
                <w:sz w:val="20"/>
              </w:rPr>
              <w:t>(такое указание осуществляется в соответствии с подпунктом "б" пункта 2 части 1 статьи 43 Закона № 44-ФЗ)</w:t>
            </w:r>
            <w:r>
              <w:rPr>
                <w:sz w:val="20"/>
              </w:rPr>
              <w:t xml:space="preserve"> </w:t>
            </w:r>
          </w:p>
        </w:tc>
      </w:tr>
    </w:tbl>
    <w:p w:rsidR="00000000" w:rsidRDefault="00000000" w:rsidP="00B67A9C">
      <w:pPr>
        <w:ind w:firstLine="709"/>
        <w:jc w:val="both"/>
        <w:rPr>
          <w:sz w:val="20"/>
        </w:rPr>
      </w:pPr>
      <w:r>
        <w:rPr>
          <w:sz w:val="20"/>
        </w:rPr>
        <w:lastRenderedPageBreak/>
        <w:t>4.1.8.3. Указание в заявке на участие в закупке наименования страны происхождения товара (в случае осуществления закупки в соответствии с Законом № 44-ФЗ, такое указание осуществляется в соответствии с подпунктом "б" пункта 2 части 1 статьи 43 Закона № 44-ФЗ):</w:t>
      </w:r>
    </w:p>
    <w:p w:rsidR="00000000" w:rsidRDefault="00000000" w:rsidP="00B67A9C">
      <w:pPr>
        <w:ind w:firstLine="709"/>
        <w:jc w:val="both"/>
        <w:rPr>
          <w:sz w:val="20"/>
        </w:rPr>
      </w:pPr>
      <w:r>
        <w:rPr>
          <w:sz w:val="20"/>
        </w:rPr>
        <w:t xml:space="preserve">- для подтверждения происхождения товаров из Российской Федерации, </w:t>
      </w:r>
      <w:r>
        <w:rPr>
          <w:b/>
          <w:i/>
          <w:sz w:val="20"/>
        </w:rPr>
        <w:t>не указанных в позициях</w:t>
      </w:r>
      <w:r>
        <w:rPr>
          <w:sz w:val="20"/>
        </w:rPr>
        <w:t xml:space="preserve"> 1 - 146 приложения № 1, позициях 1 - 433 приложения № 2 к Постановлению № 1875;</w:t>
      </w:r>
    </w:p>
    <w:p w:rsidR="00000000" w:rsidRDefault="00000000" w:rsidP="00B67A9C">
      <w:pPr>
        <w:ind w:firstLine="709"/>
        <w:jc w:val="both"/>
        <w:rPr>
          <w:sz w:val="20"/>
        </w:rPr>
      </w:pPr>
      <w:r>
        <w:rPr>
          <w:sz w:val="20"/>
        </w:rPr>
        <w:t>- для подтверждения происхождения товаров из Российской Федерации, указанных в позициях 1 - 433 приложения № 2 к Постановлению № 1875 (если отсутствие в реестре российской промышленной продукции такого товара с характеристиками, соответствующими потребности заказчика, задекларировано заказчиком в соответствии с абзацем четвертым подпункта "а" пункта 7 Постановления № 1875), за исключением случая, если в заявке на участие в закупке содержится предложение о поставке товара, который по состоянию на момент подачи заявки на участие в закупке включен в реестр российской промышленной продукции;</w:t>
      </w:r>
    </w:p>
    <w:p w:rsidR="00000000" w:rsidRDefault="00000000" w:rsidP="00B67A9C">
      <w:pPr>
        <w:ind w:firstLine="709"/>
        <w:jc w:val="both"/>
        <w:rPr>
          <w:sz w:val="20"/>
        </w:rPr>
      </w:pPr>
      <w:r>
        <w:rPr>
          <w:sz w:val="20"/>
        </w:rPr>
        <w:t>- для подтверждения происхождения товара из иностранного государства, за исключением предусмотренных п. 3 Постановления № 1875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союза.</w:t>
      </w:r>
    </w:p>
    <w:p w:rsidR="00000000" w:rsidRDefault="00000000" w:rsidP="00B67A9C">
      <w:pPr>
        <w:jc w:val="both"/>
        <w:rPr>
          <w:sz w:val="20"/>
          <w:highlight w:val="white"/>
        </w:rPr>
      </w:pPr>
      <w:r>
        <w:rPr>
          <w:sz w:val="20"/>
        </w:rPr>
        <w:t xml:space="preserve">           </w:t>
      </w:r>
      <w:r>
        <w:rPr>
          <w:sz w:val="20"/>
          <w:highlight w:val="white"/>
        </w:rPr>
        <w:t xml:space="preserve">   4.1.8.4. До внесения изменений в право Евразийского экономического союза, предусматривающих подтверждение страны происхождения товаров, указанных в приложениях № 1-2 к Постановлению № 1875, путем предоставления информации из евразийского реестра промышленных товаров, документом, подтверждающим происхождение таких товаров из государств - членов Евразийского экономического союза, за исключением Российской Федерации,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000000" w:rsidRDefault="00000000" w:rsidP="00B67A9C">
      <w:pPr>
        <w:ind w:firstLine="709"/>
        <w:jc w:val="both"/>
        <w:rPr>
          <w:sz w:val="20"/>
        </w:rPr>
      </w:pPr>
      <w:r>
        <w:rPr>
          <w:sz w:val="20"/>
        </w:rPr>
        <w:t>4.1.9. При отсутствии в заявке документов (или копий таких документов) или информации, предусмотренных пунктами 4.1.8.1 - 4.1.8.3,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p w:rsidR="00000000" w:rsidRDefault="00000000" w:rsidP="00B67A9C">
      <w:pPr>
        <w:tabs>
          <w:tab w:val="left" w:pos="576"/>
        </w:tabs>
        <w:ind w:firstLine="709"/>
        <w:jc w:val="both"/>
        <w:outlineLvl w:val="1"/>
        <w:rPr>
          <w:sz w:val="20"/>
        </w:rPr>
      </w:pPr>
      <w:r>
        <w:rPr>
          <w:sz w:val="20"/>
        </w:rPr>
        <w:t>4.2. Заявка на участие в закупке может содержать иные информацию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запросе котировок.</w:t>
      </w:r>
    </w:p>
    <w:p w:rsidR="00000000" w:rsidRDefault="00000000" w:rsidP="00B67A9C">
      <w:pPr>
        <w:tabs>
          <w:tab w:val="left" w:pos="576"/>
        </w:tabs>
        <w:ind w:firstLine="709"/>
        <w:jc w:val="both"/>
        <w:outlineLvl w:val="1"/>
        <w:rPr>
          <w:sz w:val="20"/>
        </w:rPr>
      </w:pPr>
      <w:r>
        <w:rPr>
          <w:sz w:val="20"/>
        </w:rPr>
        <w:t>4.3. В заявку на участие в запросе котировок не включаются:</w:t>
      </w:r>
    </w:p>
    <w:p w:rsidR="00000000" w:rsidRDefault="00000000" w:rsidP="00B67A9C">
      <w:pPr>
        <w:tabs>
          <w:tab w:val="left" w:pos="576"/>
        </w:tabs>
        <w:ind w:firstLine="709"/>
        <w:jc w:val="both"/>
        <w:outlineLvl w:val="1"/>
        <w:rPr>
          <w:sz w:val="20"/>
        </w:rPr>
      </w:pPr>
      <w:r>
        <w:rPr>
          <w:sz w:val="20"/>
        </w:rPr>
        <w:t xml:space="preserve">- информация и документы, предусмотренные подпунктами "а" - "л" пункта 1 части 1 статьи 43 Закона № 44-ФЗ. </w:t>
      </w:r>
    </w:p>
    <w:p w:rsidR="00000000" w:rsidRDefault="00000000" w:rsidP="00B67A9C">
      <w:pPr>
        <w:tabs>
          <w:tab w:val="left" w:pos="576"/>
        </w:tabs>
        <w:ind w:firstLine="709"/>
        <w:jc w:val="both"/>
        <w:outlineLvl w:val="1"/>
        <w:rPr>
          <w:sz w:val="20"/>
        </w:rPr>
      </w:pPr>
      <w:r>
        <w:rPr>
          <w:sz w:val="20"/>
        </w:rPr>
        <w:t>Такие информация и документы в случаях, предусмотренных Законом № 44-ФЗ, направляются (по состоянию на дату и время их направления) заказчику оператором электронной площадки путем информационного взаимодействия с ЕИС;</w:t>
      </w:r>
    </w:p>
    <w:p w:rsidR="00000000" w:rsidRDefault="00000000" w:rsidP="00B67A9C">
      <w:pPr>
        <w:tabs>
          <w:tab w:val="left" w:pos="576"/>
        </w:tabs>
        <w:ind w:firstLine="709"/>
        <w:jc w:val="both"/>
        <w:outlineLvl w:val="1"/>
        <w:rPr>
          <w:sz w:val="20"/>
        </w:rPr>
      </w:pPr>
      <w:r>
        <w:rPr>
          <w:sz w:val="20"/>
        </w:rPr>
        <w:t>- документы, подтверждающие соответствие участника закупки дополнительным требованиям, установленным в соответствии с частью 2 или 2.1 (при наличии таких требований) статьи 31 Закона № 44-ФЗ, и предусмотренные подпунктом "н" пункта 1 части 1 статьи 43 Закона № 44-ФЗ. Такие документы в случаях, предусмотренных Законом№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000000" w:rsidRDefault="00000000" w:rsidP="00B67A9C">
      <w:pPr>
        <w:ind w:firstLine="709"/>
        <w:jc w:val="both"/>
        <w:rPr>
          <w:sz w:val="20"/>
        </w:rPr>
      </w:pPr>
      <w:r>
        <w:rPr>
          <w:sz w:val="20"/>
        </w:rPr>
        <w:t>4.4. Требовать от участника закупки представления иных информации и документов, за исключением предусмотренных частями 1 и 2 статьи 43 Закона № 44-ФЗ, не допускается.</w:t>
      </w:r>
    </w:p>
    <w:p w:rsidR="00000000" w:rsidRDefault="00000000" w:rsidP="00B67A9C">
      <w:pPr>
        <w:ind w:firstLine="709"/>
        <w:jc w:val="both"/>
        <w:rPr>
          <w:sz w:val="20"/>
        </w:rPr>
      </w:pPr>
      <w:r>
        <w:rPr>
          <w:sz w:val="20"/>
        </w:rPr>
        <w:t xml:space="preserve">4.5. Участник закупки вправе подать только одну заявку на участие в запросе котировок в любое время с момента размещения в ЕИС извещения </w:t>
      </w:r>
      <w:proofErr w:type="gramStart"/>
      <w:r>
        <w:rPr>
          <w:sz w:val="20"/>
        </w:rPr>
        <w:t>до окончания</w:t>
      </w:r>
      <w:proofErr w:type="gramEnd"/>
      <w:r>
        <w:rPr>
          <w:sz w:val="20"/>
        </w:rPr>
        <w:t xml:space="preserve"> установленного в соответствии с Законом № 44-ФЗ срока подачи заявок на участие в запросе котировок. </w:t>
      </w:r>
    </w:p>
    <w:p w:rsidR="00000000" w:rsidRDefault="00000000" w:rsidP="00B67A9C">
      <w:pPr>
        <w:ind w:firstLine="709"/>
        <w:jc w:val="both"/>
        <w:rPr>
          <w:sz w:val="20"/>
        </w:rPr>
      </w:pPr>
      <w:r>
        <w:rPr>
          <w:sz w:val="20"/>
        </w:rPr>
        <w:t>4.6. Подача заявки на участие в запросе котировок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и в соответствии с заявкой такого участника закупки на участие в запросе котировок.</w:t>
      </w:r>
    </w:p>
    <w:p w:rsidR="00000000" w:rsidRDefault="00000000" w:rsidP="00B67A9C">
      <w:pPr>
        <w:widowControl w:val="0"/>
        <w:ind w:firstLine="709"/>
        <w:jc w:val="both"/>
        <w:rPr>
          <w:b/>
          <w:sz w:val="20"/>
        </w:rPr>
      </w:pPr>
    </w:p>
    <w:p w:rsidR="00000000" w:rsidRDefault="00000000" w:rsidP="00B67A9C">
      <w:pPr>
        <w:widowControl w:val="0"/>
        <w:ind w:firstLine="709"/>
        <w:jc w:val="both"/>
        <w:rPr>
          <w:b/>
          <w:sz w:val="20"/>
        </w:rPr>
      </w:pPr>
      <w:r>
        <w:rPr>
          <w:b/>
          <w:sz w:val="20"/>
        </w:rPr>
        <w:t xml:space="preserve">5. ОБЕСПЕЧЕНИЕ ЗАЯВОК </w:t>
      </w:r>
      <w:r>
        <w:rPr>
          <w:sz w:val="20"/>
        </w:rPr>
        <w:t>(если требование обеспечения заявки установлено в Извещении в соответствии со статьей 44 Закона № 44-ФЗ)</w:t>
      </w:r>
      <w:r>
        <w:rPr>
          <w:b/>
          <w:sz w:val="20"/>
        </w:rPr>
        <w:tab/>
      </w:r>
    </w:p>
    <w:p w:rsidR="00000000" w:rsidRDefault="00000000" w:rsidP="00B67A9C">
      <w:pPr>
        <w:ind w:firstLine="540"/>
        <w:jc w:val="both"/>
        <w:rPr>
          <w:sz w:val="20"/>
        </w:rPr>
      </w:pPr>
      <w:r>
        <w:rPr>
          <w:sz w:val="20"/>
        </w:rPr>
        <w:tab/>
      </w:r>
      <w:bookmarkEnd w:id="0"/>
      <w:r>
        <w:rPr>
          <w:sz w:val="20"/>
        </w:rPr>
        <w:t>5.1. Требование об обеспечении заявки на участие в запросе котировок (далее – обеспечение заявки) и</w:t>
      </w:r>
      <w:r>
        <w:rPr>
          <w:color w:val="0070C0"/>
          <w:sz w:val="20"/>
        </w:rPr>
        <w:t xml:space="preserve"> </w:t>
      </w:r>
      <w:r>
        <w:rPr>
          <w:sz w:val="20"/>
        </w:rPr>
        <w:t xml:space="preserve">размер обеспечения заявки установлены в извещении. </w:t>
      </w:r>
    </w:p>
    <w:p w:rsidR="00000000" w:rsidRDefault="00000000" w:rsidP="00B67A9C">
      <w:pPr>
        <w:ind w:firstLine="708"/>
        <w:jc w:val="both"/>
        <w:rPr>
          <w:sz w:val="20"/>
        </w:rPr>
      </w:pPr>
      <w:r>
        <w:rPr>
          <w:sz w:val="20"/>
        </w:rPr>
        <w:t xml:space="preserve">5.2. В случае, если участником закупки является государственное, муниципальное учреждение, обеспечение подаваемых ими заявок на участие в закупках не предоставляется. В случае, если участником закупки является предприятия уголовно-исполнительной системы, организация инвалидов, предусмотренная частью 2 статьи 29 Закона № 44-ФЗ, обеспечение заявки предоставляется в размере одной второй процента начальной (максимальной) цены контракта. </w:t>
      </w:r>
    </w:p>
    <w:p w:rsidR="00000000" w:rsidRDefault="00000000" w:rsidP="00B67A9C">
      <w:pPr>
        <w:jc w:val="both"/>
        <w:rPr>
          <w:sz w:val="20"/>
        </w:rPr>
      </w:pPr>
      <w:r>
        <w:rPr>
          <w:sz w:val="20"/>
        </w:rPr>
        <w:t xml:space="preserve">   </w:t>
      </w:r>
      <w:r>
        <w:rPr>
          <w:sz w:val="20"/>
        </w:rPr>
        <w:tab/>
        <w:t>5.3. Обеспечение заявки может предоставляться участником закупки в виде денежных средств или независимой гарантии. Выбор способа обеспечения заявки осуществляется участником закупки самостоятельно.</w:t>
      </w:r>
    </w:p>
    <w:p w:rsidR="00000000" w:rsidRDefault="00000000" w:rsidP="00B67A9C">
      <w:pPr>
        <w:widowControl w:val="0"/>
        <w:ind w:firstLine="709"/>
        <w:jc w:val="both"/>
        <w:rPr>
          <w:sz w:val="20"/>
        </w:rPr>
      </w:pPr>
      <w:bookmarkStart w:id="2" w:name="Par673"/>
      <w:bookmarkStart w:id="3" w:name="Par681"/>
      <w:bookmarkStart w:id="4" w:name="Par703"/>
      <w:bookmarkEnd w:id="2"/>
      <w:bookmarkEnd w:id="3"/>
      <w:bookmarkEnd w:id="4"/>
      <w:r>
        <w:rPr>
          <w:sz w:val="20"/>
        </w:rPr>
        <w:t>5.4. В случае если в качестве обеспечение заявки выбрана независимая гарантия:</w:t>
      </w:r>
    </w:p>
    <w:p w:rsidR="00000000" w:rsidRDefault="00000000" w:rsidP="00B67A9C">
      <w:pPr>
        <w:ind w:firstLine="709"/>
        <w:jc w:val="both"/>
        <w:rPr>
          <w:sz w:val="20"/>
        </w:rPr>
      </w:pPr>
      <w:r>
        <w:rPr>
          <w:sz w:val="20"/>
        </w:rPr>
        <w:t>5.4.1. Независимая гарантия должна соответствовать требованиям статьи 45 Закона № 44-ФЗ. Срок действия независимой гарантии должен составлять не менее месяца с даты окончания срока подачи заявок.</w:t>
      </w:r>
    </w:p>
    <w:p w:rsidR="00000000" w:rsidRDefault="00000000" w:rsidP="00B67A9C">
      <w:pPr>
        <w:ind w:firstLine="709"/>
        <w:jc w:val="both"/>
        <w:rPr>
          <w:sz w:val="20"/>
        </w:rPr>
      </w:pPr>
      <w:r>
        <w:rPr>
          <w:sz w:val="20"/>
        </w:rPr>
        <w:t xml:space="preserve">5.4.2. В качестве обеспечения заявки принимаются независимые гарантии, выданные: банками, соответствующими требованиям, установленным Правительством Российской Федерации, и включенными в перечень, предусмотренный частью 1.2 статьи 45 Закона № 44-ФЗ; государственной корпорацией развития "ВЭБ.РФ"; фондами содействия кредитованию (гарантийными фондами, фондами поручительств), являющимися участниками национальной гарантийной системы </w:t>
      </w:r>
      <w:r>
        <w:rPr>
          <w:sz w:val="20"/>
        </w:rPr>
        <w:lastRenderedPageBreak/>
        <w:t>поддержки малого и среднего предпринимательства, предусмотренной Федеральным законом от 24 июля 2007 года № 209-ФЗ "О развитии малого и среднего предпринимательства в Российской Федерации", соответствующими требованиям, установленным Правительством Российской Федерации, и включенными в перечень, предусмотренный частью 1.7 статьи 45 Закона № 44-ФЗ (при осуществлении закупок в соответствии с пунктом 1 части 1 статьи 30 Закона № 44-ФЗ);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000000" w:rsidRDefault="00000000" w:rsidP="00B67A9C">
      <w:pPr>
        <w:ind w:firstLine="709"/>
        <w:jc w:val="both"/>
        <w:rPr>
          <w:sz w:val="20"/>
        </w:rPr>
      </w:pPr>
      <w:r>
        <w:rPr>
          <w:sz w:val="20"/>
        </w:rPr>
        <w:t>5.4.3. Возврат независимой гарантии в случаях, предусмотренных пунктами 1 – 6 части 10 статьи 44 Закона № 44-ФЗ, заказчиком лицу или гаранту, предоставившим независимую гарантию, не осуществляется, взыскание по ней не производится. В случае, предусмотренном пунктом 7 части 10 статьи 44 Закона № 44-ФЗ, заказчик предъявляет требование об уплате денежной суммы по независимой гарантии, предоставленной для обеспечения заявки на участие в запросе котировок участником закупки, информация о котором включена в реестр недобросовестных поставщиков (подрядчиков, исполнителей) в связи с уклонением такого участника от заключения контракта.</w:t>
      </w:r>
    </w:p>
    <w:p w:rsidR="00000000" w:rsidRDefault="00000000" w:rsidP="00B67A9C">
      <w:pPr>
        <w:widowControl w:val="0"/>
        <w:ind w:firstLine="709"/>
        <w:jc w:val="both"/>
        <w:rPr>
          <w:sz w:val="20"/>
        </w:rPr>
      </w:pPr>
      <w:r>
        <w:rPr>
          <w:sz w:val="20"/>
        </w:rPr>
        <w:t>5.5. В случае если обеспечение заявки предоставляется участником закупки в виде денежных средств:</w:t>
      </w:r>
    </w:p>
    <w:p w:rsidR="00000000" w:rsidRDefault="00000000" w:rsidP="00B67A9C">
      <w:pPr>
        <w:ind w:firstLine="708"/>
        <w:jc w:val="both"/>
        <w:rPr>
          <w:sz w:val="20"/>
        </w:rPr>
      </w:pPr>
      <w:r>
        <w:rPr>
          <w:sz w:val="20"/>
        </w:rPr>
        <w:t>5.5.1. Обеспечение заявки на участие в запросе котировок предоставляется путем блокирования денежных средств на банковском счете, открытом таким участником в банке, включенно</w:t>
      </w:r>
      <w:r>
        <w:rPr>
          <w:color w:val="auto"/>
          <w:sz w:val="20"/>
        </w:rPr>
        <w:t>м в перечень, ут</w:t>
      </w:r>
      <w:r>
        <w:rPr>
          <w:sz w:val="20"/>
        </w:rPr>
        <w:t xml:space="preserve">вержденный Правительством Российской Федерации (далее - специальный счет), для их перевода в случаях, предусмотренных статьей 44 Закона № 44-ФЗ,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таким банкам, к договору специального счета, к порядку </w:t>
      </w:r>
      <w:proofErr w:type="gramStart"/>
      <w:r>
        <w:rPr>
          <w:sz w:val="20"/>
        </w:rPr>
        <w:t>использования</w:t>
      </w:r>
      <w:proofErr w:type="gramEnd"/>
      <w:r>
        <w:rPr>
          <w:sz w:val="20"/>
        </w:rPr>
        <w:t xml:space="preserve"> имеющегося у участника закупки банковского счета в качестве специального счета устанавливаются Правительством Российской Федерации.</w:t>
      </w:r>
    </w:p>
    <w:p w:rsidR="00000000" w:rsidRDefault="00000000" w:rsidP="00B67A9C">
      <w:pPr>
        <w:ind w:firstLine="708"/>
        <w:jc w:val="both"/>
        <w:rPr>
          <w:sz w:val="20"/>
        </w:rPr>
      </w:pPr>
      <w:r>
        <w:rPr>
          <w:sz w:val="20"/>
        </w:rPr>
        <w:t xml:space="preserve">Денежные средства, находящиеся на специальном счете участника закупки, могут использоваться для обеспечения заявок на участие в закупках исключительно такого участника закупки. Блокирование денежных средств в целях обеспечения заявки на участие в закупке на специальном счете осуществляется и прекращается банком на основании информации, полученной от оператора электронной площадки в соответствии со статьей 44 Закона № 44-ФЗ. </w:t>
      </w:r>
    </w:p>
    <w:p w:rsidR="00000000" w:rsidRDefault="00000000" w:rsidP="00B67A9C">
      <w:pPr>
        <w:widowControl w:val="0"/>
        <w:ind w:firstLine="709"/>
        <w:jc w:val="both"/>
        <w:rPr>
          <w:sz w:val="20"/>
        </w:rPr>
      </w:pPr>
      <w:r>
        <w:rPr>
          <w:sz w:val="20"/>
        </w:rPr>
        <w:t>5.5.2. Банк прекращает блокирование денежных средств на специальном счете участника закупки не позднее одного часа с момента получения от оператора электронной площадки информации о наступления одного из следующих случаев:</w:t>
      </w:r>
    </w:p>
    <w:p w:rsidR="00000000" w:rsidRDefault="00000000" w:rsidP="00B67A9C">
      <w:pPr>
        <w:ind w:firstLine="709"/>
        <w:jc w:val="both"/>
        <w:rPr>
          <w:sz w:val="20"/>
        </w:rPr>
      </w:pPr>
      <w:r>
        <w:rPr>
          <w:sz w:val="20"/>
        </w:rPr>
        <w:t xml:space="preserve">1) отклонение заявки на участие в закупке (за исключением случая, предусмотренного частью 13 статьи 44 Закона № 44-ФЗ), отстранение участника закупки от участия в определении поставщика (подрядчика, исполнителя) в соответствии с Законом № 44-ФЗ;  </w:t>
      </w:r>
    </w:p>
    <w:p w:rsidR="00000000" w:rsidRDefault="00000000" w:rsidP="00B67A9C">
      <w:pPr>
        <w:ind w:firstLine="709"/>
        <w:jc w:val="both"/>
        <w:rPr>
          <w:sz w:val="20"/>
        </w:rPr>
      </w:pPr>
      <w:r>
        <w:rPr>
          <w:sz w:val="20"/>
        </w:rPr>
        <w:t>2) отзыв заявки участником закупки в соответствии с Законом № 44-ФЗ;</w:t>
      </w:r>
    </w:p>
    <w:p w:rsidR="00000000" w:rsidRDefault="00000000" w:rsidP="00B67A9C">
      <w:pPr>
        <w:ind w:firstLine="709"/>
        <w:jc w:val="both"/>
        <w:rPr>
          <w:sz w:val="20"/>
        </w:rPr>
      </w:pPr>
      <w:r>
        <w:rPr>
          <w:sz w:val="20"/>
        </w:rPr>
        <w:t>3) заключение контракта в соответствии с Закона № 44-ФЗ с участником закупки. В этом случае оператор электронной площадки направляет также информацию о реквизитах специальных счетов всех участников закупки, заявки которых не были отклонены, отстранены, отозваны в соответствии с Законом № 44-ФЗ, за исключением участников закупки, признанных в соответствии с Законом № 44-</w:t>
      </w:r>
      <w:proofErr w:type="gramStart"/>
      <w:r>
        <w:rPr>
          <w:sz w:val="20"/>
        </w:rPr>
        <w:t>ФЗ</w:t>
      </w:r>
      <w:proofErr w:type="gramEnd"/>
      <w:r>
        <w:rPr>
          <w:sz w:val="20"/>
        </w:rPr>
        <w:t xml:space="preserve"> уклонившимися от заключения контракта;</w:t>
      </w:r>
    </w:p>
    <w:p w:rsidR="00000000" w:rsidRDefault="00000000" w:rsidP="00B67A9C">
      <w:pPr>
        <w:ind w:firstLine="709"/>
        <w:jc w:val="both"/>
        <w:rPr>
          <w:sz w:val="20"/>
        </w:rPr>
      </w:pPr>
      <w:r>
        <w:rPr>
          <w:sz w:val="20"/>
        </w:rPr>
        <w:t>4) отмена закупки в соответствии со статьей 36 Закона № 44-ФЗ. В этом случае оператор электронной площадки направляет информацию о реквизитах специальных счетов всех участников закупки, подавших заявки на участие в запросе котировок;</w:t>
      </w:r>
    </w:p>
    <w:p w:rsidR="00000000" w:rsidRDefault="00000000" w:rsidP="00B67A9C">
      <w:pPr>
        <w:ind w:firstLine="709"/>
        <w:jc w:val="both"/>
        <w:rPr>
          <w:sz w:val="20"/>
        </w:rPr>
      </w:pPr>
      <w:r>
        <w:rPr>
          <w:sz w:val="20"/>
        </w:rPr>
        <w:t>5) получение решения контрольного органа в сфере закупок об отказе в согласовании заключения контракта с единственным поставщиком (подрядчиком, исполнителем);</w:t>
      </w:r>
    </w:p>
    <w:p w:rsidR="00000000" w:rsidRDefault="00000000" w:rsidP="00B67A9C">
      <w:pPr>
        <w:ind w:firstLine="709"/>
        <w:jc w:val="both"/>
        <w:rPr>
          <w:sz w:val="20"/>
        </w:rPr>
      </w:pPr>
      <w:r>
        <w:rPr>
          <w:sz w:val="20"/>
        </w:rPr>
        <w:t>6) получение предусмотренного Законом № 44-ФЗ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w:t>
      </w:r>
    </w:p>
    <w:p w:rsidR="00000000" w:rsidRDefault="00000000" w:rsidP="00B67A9C">
      <w:pPr>
        <w:jc w:val="both"/>
        <w:rPr>
          <w:sz w:val="20"/>
        </w:rPr>
      </w:pPr>
      <w:r>
        <w:rPr>
          <w:sz w:val="20"/>
        </w:rPr>
        <w:t>и направляет информацию о прекращении такого блокирования оператору электронной площадки.</w:t>
      </w:r>
    </w:p>
    <w:p w:rsidR="00000000" w:rsidRDefault="00000000" w:rsidP="00B67A9C">
      <w:pPr>
        <w:ind w:firstLine="708"/>
        <w:jc w:val="both"/>
        <w:rPr>
          <w:sz w:val="20"/>
        </w:rPr>
      </w:pPr>
      <w:r>
        <w:rPr>
          <w:sz w:val="20"/>
        </w:rPr>
        <w:t>Не позднее одного часа с момента получения от оператора электронной площадки информации о включении информации об участнике закупки в реестр недобросовестных поставщиков (подрядчиков, исполнителей) в соответствии со статьей 104 Закона № 44-ФЗ в связи с его уклонением от заключения контракта, банк осуществляет перевод заблокированных в соответствии с подпунктом "в" пункта 3 части 5 статьи 44 Закона № 44-ФЗ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 и направляет информацию о таком переводе оператору электронной площадки.</w:t>
      </w:r>
    </w:p>
    <w:p w:rsidR="00000000" w:rsidRDefault="00000000" w:rsidP="00B67A9C">
      <w:pPr>
        <w:ind w:firstLine="708"/>
        <w:jc w:val="both"/>
        <w:rPr>
          <w:sz w:val="20"/>
        </w:rPr>
      </w:pPr>
      <w:r>
        <w:rPr>
          <w:sz w:val="20"/>
        </w:rPr>
        <w:t>5.5.3. Участник закупки, являющийся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вправе предоставить обеспечение заявки в виде денежных средств с учетом следующих особенностей:</w:t>
      </w:r>
    </w:p>
    <w:p w:rsidR="00000000" w:rsidRDefault="00000000" w:rsidP="00B67A9C">
      <w:pPr>
        <w:ind w:firstLine="708"/>
        <w:jc w:val="both"/>
        <w:rPr>
          <w:sz w:val="20"/>
        </w:rPr>
      </w:pPr>
      <w:bookmarkStart w:id="5" w:name="Par1"/>
      <w:bookmarkStart w:id="6" w:name="Par694"/>
      <w:bookmarkEnd w:id="5"/>
      <w:bookmarkEnd w:id="6"/>
      <w:r>
        <w:rPr>
          <w:sz w:val="20"/>
        </w:rPr>
        <w:t>а) денежные средства вносятся участником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rsidR="00000000" w:rsidRDefault="00000000" w:rsidP="00B67A9C">
      <w:pPr>
        <w:ind w:firstLine="708"/>
        <w:jc w:val="both"/>
        <w:rPr>
          <w:sz w:val="20"/>
        </w:rPr>
      </w:pPr>
      <w:r>
        <w:rPr>
          <w:sz w:val="20"/>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rsidR="00000000" w:rsidRDefault="00000000" w:rsidP="00B67A9C">
      <w:pPr>
        <w:ind w:firstLine="708"/>
        <w:jc w:val="both"/>
        <w:rPr>
          <w:sz w:val="20"/>
        </w:rPr>
      </w:pPr>
      <w:r>
        <w:rPr>
          <w:sz w:val="20"/>
        </w:rPr>
        <w:t xml:space="preserve">в) участник закупки признается </w:t>
      </w:r>
      <w:proofErr w:type="spellStart"/>
      <w:r>
        <w:rPr>
          <w:sz w:val="20"/>
        </w:rPr>
        <w:t>непредоставившим</w:t>
      </w:r>
      <w:proofErr w:type="spellEnd"/>
      <w:r>
        <w:rPr>
          <w:sz w:val="20"/>
        </w:rPr>
        <w:t xml:space="preserve">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подведения итогов определения поставщика (подрядчика, исполнителя) на счет, предусмотренный подпунктом "а" настоящего пункта.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44-ФЗ;</w:t>
      </w:r>
    </w:p>
    <w:p w:rsidR="00000000" w:rsidRDefault="00000000" w:rsidP="00B67A9C">
      <w:pPr>
        <w:ind w:firstLine="708"/>
        <w:jc w:val="both"/>
        <w:rPr>
          <w:sz w:val="20"/>
        </w:rPr>
      </w:pPr>
      <w:r>
        <w:rPr>
          <w:sz w:val="20"/>
        </w:rPr>
        <w:t xml:space="preserve">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пунктами 1 - 6 части 10 статьи </w:t>
      </w:r>
      <w:r>
        <w:rPr>
          <w:sz w:val="20"/>
        </w:rPr>
        <w:lastRenderedPageBreak/>
        <w:t>44-ФЗ. Возврат таких денежных средств участнику закупки не осуществляется в случае, предусмотренном пунктом 7 части 10 статьи 44-ФЗ.</w:t>
      </w:r>
    </w:p>
    <w:p w:rsidR="00000000" w:rsidRDefault="00000000" w:rsidP="00B67A9C">
      <w:pPr>
        <w:ind w:firstLine="708"/>
        <w:jc w:val="both"/>
        <w:rPr>
          <w:sz w:val="20"/>
        </w:rPr>
      </w:pPr>
      <w:r>
        <w:rPr>
          <w:sz w:val="20"/>
        </w:rPr>
        <w:t xml:space="preserve">5.5.4. В случае, если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принято решение о несоответствии указанных заявок требованиям, предусмотренным извещением, по основаниям, установленным пунктами 1 - 3, 5 - 9 части 12 статьи 48 Закона № 44-ФЗ, в порядке, предусмотренном частью 14 статьи 44 Закона № 44-ФЗ, осуществляется перечисление в соответствующий бюджет бюджетной системы Российской Федерации заблокированных на специальном счете участника закупки денежных средств в размере обеспечения каждой третьей такой заявки или в порядке, предусмотренном частью 15 статьи 44 Закона № 44-ФЗ, предъявляется требование об уплате денежной суммы по независимой гарантии, предоставленной для обеспечения каждой третьей такой заявки. </w:t>
      </w:r>
    </w:p>
    <w:p w:rsidR="00000000" w:rsidRDefault="00000000" w:rsidP="00B67A9C">
      <w:pPr>
        <w:widowControl w:val="0"/>
        <w:ind w:firstLine="709"/>
        <w:jc w:val="both"/>
        <w:rPr>
          <w:sz w:val="20"/>
        </w:rPr>
      </w:pPr>
      <w:bookmarkStart w:id="7" w:name="Par707"/>
      <w:bookmarkEnd w:id="7"/>
    </w:p>
    <w:p w:rsidR="00000000" w:rsidRDefault="00000000" w:rsidP="00B67A9C">
      <w:pPr>
        <w:widowControl w:val="0"/>
        <w:ind w:firstLine="709"/>
        <w:jc w:val="both"/>
        <w:outlineLvl w:val="2"/>
        <w:rPr>
          <w:b/>
          <w:caps/>
          <w:sz w:val="20"/>
        </w:rPr>
      </w:pPr>
      <w:r>
        <w:rPr>
          <w:b/>
          <w:sz w:val="20"/>
        </w:rPr>
        <w:t xml:space="preserve">6. УСЛОВИЯ </w:t>
      </w:r>
      <w:r>
        <w:rPr>
          <w:b/>
          <w:caps/>
          <w:sz w:val="20"/>
        </w:rPr>
        <w:t>независимой</w:t>
      </w:r>
      <w:r>
        <w:rPr>
          <w:b/>
          <w:sz w:val="20"/>
        </w:rPr>
        <w:t xml:space="preserve"> ГАРАНТИИ, </w:t>
      </w:r>
      <w:r>
        <w:rPr>
          <w:b/>
          <w:caps/>
          <w:sz w:val="20"/>
        </w:rPr>
        <w:t xml:space="preserve">предоставляемой участником закупки в качестве обеспечения заявки </w:t>
      </w:r>
    </w:p>
    <w:p w:rsidR="00000000" w:rsidRDefault="00000000" w:rsidP="00B67A9C">
      <w:pPr>
        <w:ind w:firstLine="709"/>
        <w:jc w:val="both"/>
        <w:rPr>
          <w:sz w:val="20"/>
        </w:rPr>
      </w:pPr>
      <w:bookmarkStart w:id="8" w:name="Par710"/>
      <w:bookmarkEnd w:id="8"/>
      <w:r>
        <w:rPr>
          <w:sz w:val="20"/>
        </w:rPr>
        <w:t>6.1. 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и должна быть составлена по утвержденной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(далее - Постановление № 1005) типовой форме независимой гарантии, предоставляемой в качестве обеспечения заявки на участие в запросе котировок товара, работы, услуги для обеспечения государственных и муниципальных нужд, на условиях, определенных гражданским законодательством и статьей 45 Закона № 44-ФЗ .</w:t>
      </w:r>
    </w:p>
    <w:p w:rsidR="00000000" w:rsidRDefault="00000000" w:rsidP="00B67A9C">
      <w:pPr>
        <w:ind w:firstLine="709"/>
        <w:jc w:val="both"/>
        <w:rPr>
          <w:sz w:val="20"/>
        </w:rPr>
      </w:pPr>
      <w:r>
        <w:rPr>
          <w:sz w:val="20"/>
        </w:rPr>
        <w:t>Бенефициаром является заказчик.</w:t>
      </w:r>
    </w:p>
    <w:p w:rsidR="00000000" w:rsidRDefault="00000000" w:rsidP="00B67A9C">
      <w:pPr>
        <w:widowControl w:val="0"/>
        <w:ind w:firstLine="709"/>
        <w:jc w:val="both"/>
        <w:rPr>
          <w:sz w:val="20"/>
        </w:rPr>
      </w:pPr>
      <w:r>
        <w:rPr>
          <w:sz w:val="20"/>
        </w:rPr>
        <w:t>6.2. В соответствии с Постановлением № 1005 независимая гарантия оформляется с учетом следующих требований:</w:t>
      </w:r>
    </w:p>
    <w:p w:rsidR="00000000" w:rsidRDefault="00000000" w:rsidP="00B67A9C">
      <w:pPr>
        <w:widowControl w:val="0"/>
        <w:ind w:firstLine="709"/>
        <w:jc w:val="both"/>
        <w:rPr>
          <w:sz w:val="20"/>
        </w:rPr>
      </w:pPr>
      <w:r>
        <w:rPr>
          <w:sz w:val="20"/>
        </w:rPr>
        <w:t>1) недопустимость включения в независимую гарантию:</w:t>
      </w:r>
    </w:p>
    <w:p w:rsidR="00000000" w:rsidRDefault="00000000" w:rsidP="00B67A9C">
      <w:pPr>
        <w:ind w:firstLine="709"/>
        <w:jc w:val="both"/>
        <w:rPr>
          <w:sz w:val="20"/>
        </w:rPr>
      </w:pPr>
      <w:r>
        <w:rPr>
          <w:sz w:val="20"/>
        </w:rPr>
        <w:t>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000000" w:rsidRDefault="00000000" w:rsidP="00B67A9C">
      <w:pPr>
        <w:ind w:firstLine="709"/>
        <w:jc w:val="both"/>
        <w:rPr>
          <w:sz w:val="20"/>
        </w:rPr>
      </w:pPr>
      <w:r>
        <w:rPr>
          <w:sz w:val="20"/>
        </w:rPr>
        <w:t>требований о предоставлении заказчиком гаранту отчета об исполнении контракта, гарантийных обязательств;</w:t>
      </w:r>
    </w:p>
    <w:p w:rsidR="00000000" w:rsidRDefault="00000000" w:rsidP="00B67A9C">
      <w:pPr>
        <w:ind w:firstLine="709"/>
        <w:jc w:val="both"/>
        <w:rPr>
          <w:sz w:val="20"/>
        </w:rPr>
      </w:pPr>
      <w:r>
        <w:rPr>
          <w:sz w:val="20"/>
        </w:rPr>
        <w:t>требований о предоставлении заказчиком гаранту одновременно с требованием об уплате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уплате денежной суммы по независимой гарантии, утвержденный Постановлением № 1005;</w:t>
      </w:r>
    </w:p>
    <w:p w:rsidR="00000000" w:rsidRDefault="00000000" w:rsidP="00B67A9C">
      <w:pPr>
        <w:ind w:firstLine="709"/>
        <w:jc w:val="both"/>
        <w:rPr>
          <w:sz w:val="20"/>
        </w:rPr>
      </w:pPr>
      <w:r>
        <w:rPr>
          <w:sz w:val="20"/>
        </w:rPr>
        <w:t>2)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000000" w:rsidRDefault="00000000" w:rsidP="00B67A9C">
      <w:pPr>
        <w:ind w:firstLine="709"/>
        <w:jc w:val="both"/>
        <w:rPr>
          <w:sz w:val="20"/>
        </w:rPr>
      </w:pPr>
      <w:r>
        <w:rPr>
          <w:sz w:val="20"/>
        </w:rPr>
        <w:t xml:space="preserve">6.3. </w:t>
      </w:r>
      <w:bookmarkStart w:id="9" w:name="Par720"/>
      <w:bookmarkEnd w:id="9"/>
      <w:r>
        <w:rPr>
          <w:sz w:val="20"/>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000000" w:rsidRDefault="00000000" w:rsidP="00B67A9C">
      <w:pPr>
        <w:widowControl w:val="0"/>
        <w:ind w:firstLine="709"/>
        <w:jc w:val="both"/>
        <w:rPr>
          <w:sz w:val="20"/>
        </w:rPr>
      </w:pPr>
      <w:r>
        <w:rPr>
          <w:sz w:val="20"/>
        </w:rPr>
        <w:t>6.4. Заказчик рассматривает поступившую независимую гарантию в срок, не превышающий трех рабочих дней со дня ее поступления, если Законом № 44-ФЗ не установлено иное.</w:t>
      </w:r>
    </w:p>
    <w:p w:rsidR="00000000" w:rsidRDefault="00000000" w:rsidP="00B67A9C">
      <w:pPr>
        <w:ind w:firstLine="709"/>
        <w:jc w:val="both"/>
        <w:rPr>
          <w:sz w:val="20"/>
        </w:rPr>
      </w:pPr>
      <w:r>
        <w:rPr>
          <w:sz w:val="20"/>
        </w:rPr>
        <w:t>6.5. Основанием для отказа в принятии независимой гарантии заказчиком является:</w:t>
      </w:r>
    </w:p>
    <w:p w:rsidR="00000000" w:rsidRDefault="00000000" w:rsidP="00B67A9C">
      <w:pPr>
        <w:ind w:firstLine="709"/>
        <w:jc w:val="both"/>
        <w:rPr>
          <w:sz w:val="20"/>
        </w:rPr>
      </w:pPr>
      <w:r>
        <w:rPr>
          <w:sz w:val="20"/>
        </w:rPr>
        <w:t>1) отсутствие информации о независимой гарантии в предусмотренном статьей 45 Закона № 44-ФЗ реестре независимых гарантий;</w:t>
      </w:r>
    </w:p>
    <w:p w:rsidR="00000000" w:rsidRDefault="00000000" w:rsidP="00B67A9C">
      <w:pPr>
        <w:ind w:firstLine="709"/>
        <w:jc w:val="both"/>
        <w:rPr>
          <w:sz w:val="20"/>
        </w:rPr>
      </w:pPr>
      <w:r>
        <w:rPr>
          <w:sz w:val="20"/>
        </w:rPr>
        <w:t>2) несоответствие независимой гарантии требованиям, предусмотренным частями 2, 3 и 8.2 статьи 45 Закона № 44-ФЗ;</w:t>
      </w:r>
    </w:p>
    <w:p w:rsidR="00000000" w:rsidRDefault="00000000" w:rsidP="00B67A9C">
      <w:pPr>
        <w:ind w:firstLine="709"/>
        <w:jc w:val="both"/>
        <w:rPr>
          <w:sz w:val="20"/>
        </w:rPr>
      </w:pPr>
      <w:r>
        <w:rPr>
          <w:sz w:val="20"/>
        </w:rPr>
        <w:t>3) несоответствие независимой гарантии требованиям, содержащимся в Извещении.</w:t>
      </w:r>
    </w:p>
    <w:p w:rsidR="00000000" w:rsidRDefault="00000000" w:rsidP="00B67A9C">
      <w:pPr>
        <w:ind w:firstLine="709"/>
        <w:jc w:val="both"/>
        <w:rPr>
          <w:sz w:val="20"/>
        </w:rPr>
      </w:pPr>
      <w:r>
        <w:rPr>
          <w:sz w:val="20"/>
        </w:rPr>
        <w:t xml:space="preserve">6.6. В случае отказа в принятии независимой гарантии заказчик в срок, установленный частью 5 статьи 45 Закона </w:t>
      </w:r>
      <w:r>
        <w:rPr>
          <w:sz w:val="20"/>
        </w:rPr>
        <w:br/>
        <w:t>№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000000" w:rsidRDefault="00000000" w:rsidP="00B67A9C">
      <w:pPr>
        <w:ind w:firstLine="709"/>
        <w:jc w:val="both"/>
        <w:rPr>
          <w:sz w:val="20"/>
        </w:rPr>
      </w:pPr>
      <w:r>
        <w:rPr>
          <w:sz w:val="20"/>
        </w:rPr>
        <w:t xml:space="preserve"> 6.7. Независимая гарантия, информация о ней и документы, предусмотренные частью 9 статьи 45 Закона № 44-ФЗ, должны быть включены в реестр независимых гарантий, размещенный в ЕИС, за исключением независимых гарантий, указанных в части 8.1 статьи 45 Закона № 44-ФЗ. Ведение такого реестра осуществляется путем включения в соответствии с порядком, предусмотренным частью 8.2 статьи 45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000000" w:rsidRDefault="00000000" w:rsidP="00B67A9C">
      <w:pPr>
        <w:widowControl w:val="0"/>
        <w:ind w:firstLine="709"/>
        <w:jc w:val="both"/>
        <w:outlineLvl w:val="2"/>
        <w:rPr>
          <w:b/>
          <w:sz w:val="20"/>
        </w:rPr>
      </w:pPr>
    </w:p>
    <w:p w:rsidR="00000000" w:rsidRDefault="00000000" w:rsidP="00B67A9C">
      <w:pPr>
        <w:widowControl w:val="0"/>
        <w:ind w:firstLine="709"/>
        <w:jc w:val="both"/>
        <w:rPr>
          <w:b/>
          <w:sz w:val="20"/>
        </w:rPr>
      </w:pPr>
      <w:r>
        <w:rPr>
          <w:b/>
          <w:sz w:val="20"/>
        </w:rPr>
        <w:t xml:space="preserve">7. ОБЕСПЕЧЕНИЕ ИСПОЛНЕНИЯ КОНТРАКТА, ГАРАНТИЙНЫХ ОБЯЗАТЕЛЬСТВ </w:t>
      </w:r>
    </w:p>
    <w:p w:rsidR="00000000" w:rsidRDefault="00000000" w:rsidP="00B67A9C">
      <w:pPr>
        <w:widowControl w:val="0"/>
        <w:ind w:firstLine="709"/>
        <w:jc w:val="both"/>
        <w:rPr>
          <w:sz w:val="20"/>
        </w:rPr>
      </w:pPr>
      <w:r>
        <w:rPr>
          <w:sz w:val="20"/>
        </w:rPr>
        <w:t xml:space="preserve">7.1. Обеспечение исполнения контракта, обеспечение гарантийных обязательств (при наличии) установлены в Извещении. </w:t>
      </w:r>
    </w:p>
    <w:p w:rsidR="00000000" w:rsidRDefault="00000000" w:rsidP="00B67A9C">
      <w:pPr>
        <w:widowControl w:val="0"/>
        <w:ind w:firstLine="709"/>
        <w:jc w:val="both"/>
        <w:rPr>
          <w:sz w:val="20"/>
        </w:rPr>
      </w:pPr>
      <w:r>
        <w:rPr>
          <w:sz w:val="20"/>
        </w:rPr>
        <w:t xml:space="preserve">В случае заключения контракта по результатам определения поставщиков (подрядчиков, исполнителей) в соответствии с пунктом 1 части 1 статьи 30 Закона № 44-ФЗ размер обеспечения исполнения контракта устанавливается от цены, по которой заключается контракт, но не может составлять менее чем размер аванса, за исключением случая, предусмотренного в пункте 7.2. </w:t>
      </w:r>
    </w:p>
    <w:p w:rsidR="00000000" w:rsidRDefault="00000000" w:rsidP="00B67A9C">
      <w:pPr>
        <w:widowControl w:val="0"/>
        <w:ind w:firstLine="709"/>
        <w:jc w:val="both"/>
        <w:rPr>
          <w:sz w:val="20"/>
        </w:rPr>
      </w:pPr>
      <w:r>
        <w:rPr>
          <w:sz w:val="20"/>
        </w:rPr>
        <w:t xml:space="preserve">7.2. В случае если контрактом предусмотрена выплата аванса и если в соответствии с законодательством Российской Федерации расчеты по контракту в части выплаты аванса подлежат казначейскому сопровождению, размер обеспечения исполнения контракта устанавливается заказчиком от начальной (максимальной) цены контракта (от цены контракта в </w:t>
      </w:r>
      <w:r>
        <w:rPr>
          <w:sz w:val="20"/>
        </w:rPr>
        <w:lastRenderedPageBreak/>
        <w:t>случае, предусмотренном частью 6.2 статьи 96 Закона № 44-ФЗ) при заключении контракта по результатам определения поставщиков (подрядчиков, исполнителей) в соответствии с пунктом 1 части 1 статьи 30 Закона № 44-ФЗ), уменьшенной на размер такого аванса.</w:t>
      </w:r>
      <w:bookmarkStart w:id="10" w:name="Par1613"/>
      <w:bookmarkEnd w:id="10"/>
    </w:p>
    <w:p w:rsidR="00000000" w:rsidRDefault="00000000" w:rsidP="00B67A9C">
      <w:pPr>
        <w:widowControl w:val="0"/>
        <w:ind w:firstLine="709"/>
        <w:jc w:val="both"/>
        <w:rPr>
          <w:sz w:val="20"/>
        </w:rPr>
      </w:pPr>
      <w:r>
        <w:rPr>
          <w:sz w:val="20"/>
        </w:rPr>
        <w:t xml:space="preserve">7.3. Исполнение контракта, гарантийные обязательства могут обеспечиваться предоставлением независимой гарантии, соответствующей требованиям статьи 45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rsidR="00000000" w:rsidRDefault="00000000" w:rsidP="00B67A9C">
      <w:pPr>
        <w:widowControl w:val="0"/>
        <w:ind w:firstLine="709"/>
        <w:jc w:val="both"/>
        <w:rPr>
          <w:sz w:val="20"/>
        </w:rPr>
      </w:pPr>
      <w:r>
        <w:rPr>
          <w:sz w:val="20"/>
        </w:rPr>
        <w:t>Способ обеспечения исполнения контракта, гарантийных обязательств, срок действия независимой гарантии определяются в соответствии с требованиями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 44-ФЗ.</w:t>
      </w:r>
    </w:p>
    <w:p w:rsidR="00000000" w:rsidRDefault="00000000" w:rsidP="00B67A9C">
      <w:pPr>
        <w:widowControl w:val="0"/>
        <w:ind w:firstLine="709"/>
        <w:jc w:val="both"/>
        <w:rPr>
          <w:sz w:val="20"/>
        </w:rPr>
      </w:pPr>
      <w:r>
        <w:rPr>
          <w:sz w:val="20"/>
        </w:rPr>
        <w:t>7.4. В случае непредоставления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rsidR="00000000" w:rsidRDefault="00000000" w:rsidP="00B67A9C">
      <w:pPr>
        <w:widowControl w:val="0"/>
        <w:ind w:firstLine="709"/>
        <w:jc w:val="both"/>
        <w:rPr>
          <w:sz w:val="20"/>
        </w:rPr>
      </w:pPr>
      <w:r>
        <w:rPr>
          <w:sz w:val="20"/>
        </w:rPr>
        <w:t>7.5. В случае если участником закупки, с которым заключается контракт, является казенное учреждение, положения Закона № 44-ФЗ об обеспечении исполнения контракта к такому участнику не применяются.</w:t>
      </w:r>
    </w:p>
    <w:p w:rsidR="00000000" w:rsidRDefault="00000000" w:rsidP="00B67A9C">
      <w:pPr>
        <w:widowControl w:val="0"/>
        <w:ind w:firstLine="709"/>
        <w:jc w:val="both"/>
        <w:rPr>
          <w:sz w:val="20"/>
        </w:rPr>
      </w:pPr>
      <w:r>
        <w:rPr>
          <w:sz w:val="20"/>
        </w:rPr>
        <w:t>7.6. Контракт заключается после предоставления участником закупки, с которым заключается контракт, обеспечения исполнения контракта в соответствии с Законом № 44-ФЗ. При этом в случае заключения контракта жизненного цикла контракт заключается после предоставления таким участником закупки обеспечения исполнения контракта в части, предусмотренной пунктом 1 части 1.1 статьи 96 Закона № 44-ФЗ.</w:t>
      </w:r>
    </w:p>
    <w:p w:rsidR="00000000" w:rsidRDefault="00000000" w:rsidP="00B67A9C">
      <w:pPr>
        <w:widowControl w:val="0"/>
        <w:ind w:firstLine="709"/>
        <w:jc w:val="both"/>
        <w:rPr>
          <w:strike/>
          <w:sz w:val="20"/>
        </w:rPr>
      </w:pPr>
      <w:r>
        <w:rPr>
          <w:sz w:val="20"/>
        </w:rPr>
        <w:t xml:space="preserve">7.7. Участник закупки, с которым заключается контракт, в срок, установленный статьей 51 Закона № 44-ФЗ подписывает усиленной электронной подписью лица, имеющего право действовать от имени участника закупки, проект контракта и одновременно размещает на электронной площадке подписанный проект контракта, а также документ, подтверждающий предоставление обеспечения исполнения контракта в соответствии с Законом № 44-ФЗ (за исключением случаев, предусмотренных Законом № 44-ФЗ). </w:t>
      </w:r>
    </w:p>
    <w:p w:rsidR="00000000" w:rsidRDefault="00000000" w:rsidP="00B67A9C">
      <w:pPr>
        <w:ind w:firstLine="708"/>
        <w:jc w:val="both"/>
        <w:rPr>
          <w:sz w:val="20"/>
        </w:rPr>
      </w:pPr>
      <w:r>
        <w:rPr>
          <w:sz w:val="20"/>
        </w:rPr>
        <w:t>7.8. Участник закупки, с которым заключается контракт по результатам запроса котировок в соответствии с пунктом 1 части 1 статьи 30 Закона № 44-ФЗ, освобождается от предоставления обеспечения исполнения контракта, в том числе с учетом положений статьи 37 Закона № 44-ФЗ,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запросе котировок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rsidR="00000000" w:rsidRDefault="00000000" w:rsidP="00B67A9C">
      <w:pPr>
        <w:ind w:firstLine="708"/>
        <w:jc w:val="both"/>
        <w:rPr>
          <w:sz w:val="20"/>
        </w:rPr>
      </w:pPr>
      <w:r>
        <w:rPr>
          <w:sz w:val="20"/>
        </w:rPr>
        <w:t xml:space="preserve">7.9.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Закона № 44-ФЗ. </w:t>
      </w:r>
    </w:p>
    <w:p w:rsidR="00000000" w:rsidRDefault="00000000" w:rsidP="00B67A9C">
      <w:pPr>
        <w:ind w:firstLine="708"/>
        <w:jc w:val="both"/>
        <w:rPr>
          <w:sz w:val="20"/>
        </w:rPr>
      </w:pPr>
      <w:r>
        <w:rPr>
          <w:sz w:val="20"/>
        </w:rPr>
        <w:t>Поставщик (подрядчик, исполнитель)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bookmarkStart w:id="11" w:name="Par2"/>
      <w:bookmarkEnd w:id="11"/>
    </w:p>
    <w:p w:rsidR="00000000" w:rsidRDefault="00000000" w:rsidP="00B67A9C">
      <w:pPr>
        <w:ind w:firstLine="708"/>
        <w:jc w:val="both"/>
        <w:rPr>
          <w:sz w:val="20"/>
        </w:rPr>
      </w:pPr>
      <w:r>
        <w:rPr>
          <w:sz w:val="20"/>
        </w:rPr>
        <w:t>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статьи 96 Закона № 44-ФЗ.</w:t>
      </w:r>
      <w:bookmarkStart w:id="12" w:name="Par4"/>
      <w:bookmarkEnd w:id="12"/>
    </w:p>
    <w:p w:rsidR="00000000" w:rsidRDefault="00000000" w:rsidP="00B67A9C">
      <w:pPr>
        <w:ind w:firstLine="708"/>
        <w:jc w:val="both"/>
        <w:rPr>
          <w:sz w:val="20"/>
        </w:rPr>
      </w:pPr>
      <w:r>
        <w:rPr>
          <w:sz w:val="20"/>
        </w:rPr>
        <w:t>7.10.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Закона № 44-ФЗ.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(подрядчика, исполнителя) ему возвращаются заказчиком в установленный в соответствии с частью 27 статьи 34 Закона № 44-ФЗ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bookmarkStart w:id="13" w:name="Par8"/>
      <w:bookmarkEnd w:id="13"/>
    </w:p>
    <w:p w:rsidR="00000000" w:rsidRDefault="00000000" w:rsidP="00B67A9C">
      <w:pPr>
        <w:ind w:firstLine="708"/>
        <w:jc w:val="both"/>
        <w:rPr>
          <w:sz w:val="20"/>
        </w:rPr>
      </w:pPr>
      <w:r>
        <w:rPr>
          <w:sz w:val="20"/>
        </w:rPr>
        <w:t xml:space="preserve">7.11. Предусмотренное частями 7 и 7.1 статьи 96 Закона № 44-ФЗ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Законом № 44-ФЗ,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w:t>
      </w:r>
      <w:r>
        <w:rPr>
          <w:sz w:val="20"/>
        </w:rPr>
        <w:lastRenderedPageBreak/>
        <w:t>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bookmarkStart w:id="14" w:name="_Ref354440192"/>
      <w:bookmarkStart w:id="15" w:name="_Ref166350767"/>
    </w:p>
    <w:p w:rsidR="00000000" w:rsidRDefault="00000000" w:rsidP="00B67A9C">
      <w:pPr>
        <w:ind w:firstLine="708"/>
        <w:jc w:val="both"/>
        <w:rPr>
          <w:sz w:val="20"/>
        </w:rPr>
      </w:pPr>
      <w:r>
        <w:rPr>
          <w:sz w:val="20"/>
        </w:rPr>
        <w:t xml:space="preserve">7.12. </w:t>
      </w:r>
      <w:bookmarkEnd w:id="14"/>
      <w:r>
        <w:rPr>
          <w:sz w:val="20"/>
        </w:rPr>
        <w:t>Передача участником закупки, с которым заключается контракт, заказчику денежных средств в качестве обеспечения исполнения контракта:</w:t>
      </w:r>
    </w:p>
    <w:p w:rsidR="00000000" w:rsidRDefault="00000000" w:rsidP="00B67A9C">
      <w:pPr>
        <w:widowControl w:val="0"/>
        <w:ind w:firstLine="709"/>
        <w:jc w:val="both"/>
        <w:rPr>
          <w:sz w:val="20"/>
        </w:rPr>
      </w:pPr>
      <w:r>
        <w:rPr>
          <w:sz w:val="20"/>
        </w:rPr>
        <w:t xml:space="preserve">а) денежные средства, вносимые в качестве обеспечения исполнения контракта, должны быть перечислены заказчику на указанный в извещении счет, на котором в соответствии с законодательством Российской Федерации учитываются операции со средствами, поступающими заказчику, </w:t>
      </w:r>
      <w:bookmarkEnd w:id="15"/>
      <w:r>
        <w:rPr>
          <w:sz w:val="20"/>
        </w:rPr>
        <w:t>в размере, установленном в Извещении;</w:t>
      </w:r>
    </w:p>
    <w:p w:rsidR="00000000" w:rsidRDefault="00000000" w:rsidP="00B67A9C">
      <w:pPr>
        <w:widowControl w:val="0"/>
        <w:ind w:firstLine="709"/>
        <w:jc w:val="both"/>
        <w:rPr>
          <w:sz w:val="20"/>
        </w:rPr>
      </w:pPr>
      <w:r>
        <w:rPr>
          <w:sz w:val="20"/>
        </w:rPr>
        <w:t>б) денежные средства, вносимые в качестве обеспечения исполнения контракта, должны быть зачислены по реквизитам счета заказчика, указанным в извещении, до заключения контракта. В противном случае обеспечения исполнения контракта в виде внесения денежных средств считается непредоставленным;</w:t>
      </w:r>
    </w:p>
    <w:p w:rsidR="00000000" w:rsidRDefault="00000000" w:rsidP="00B67A9C">
      <w:pPr>
        <w:widowControl w:val="0"/>
        <w:ind w:firstLine="709"/>
        <w:jc w:val="both"/>
        <w:rPr>
          <w:sz w:val="20"/>
        </w:rPr>
      </w:pPr>
      <w:r>
        <w:rPr>
          <w:sz w:val="20"/>
        </w:rPr>
        <w:t>в) денежные средства, внесенные в качестве обеспечения исполнения контракта,</w:t>
      </w:r>
      <w:r>
        <w:rPr>
          <w:b/>
          <w:sz w:val="20"/>
        </w:rPr>
        <w:t xml:space="preserve"> </w:t>
      </w:r>
      <w:r>
        <w:rPr>
          <w:sz w:val="20"/>
        </w:rPr>
        <w:t>возвращаются заказчиком поставщику (подрядчику, исполнителю), с которым заключен контракт, при надлежащем исполнении им своих обязательств по контракту в срок, установленный контрактом.</w:t>
      </w:r>
    </w:p>
    <w:p w:rsidR="00000000" w:rsidRDefault="00000000" w:rsidP="00B67A9C">
      <w:pPr>
        <w:widowControl w:val="0"/>
        <w:ind w:firstLine="709"/>
        <w:jc w:val="both"/>
        <w:rPr>
          <w:sz w:val="20"/>
        </w:rPr>
      </w:pPr>
      <w:r>
        <w:rPr>
          <w:sz w:val="20"/>
        </w:rPr>
        <w:t>7.13. В случае установления заказчиком требования об обеспечении гарантийных обязательств оформление документа о приемке (за исключением отдельного этапа исполнения контракта) поставленного товара, выполненной работы (ее результатов), оказанной услуги осуществляется после предоставления поставщиком (подрядчиком, исполнителем) такого обеспечения в соответствии с Законом № 44-ФЗ в порядке и в сроки, которые установлены контрактом.</w:t>
      </w:r>
    </w:p>
    <w:p w:rsidR="00000000" w:rsidRDefault="00000000" w:rsidP="00B67A9C">
      <w:pPr>
        <w:widowControl w:val="0"/>
        <w:ind w:firstLine="709"/>
        <w:jc w:val="both"/>
        <w:rPr>
          <w:sz w:val="20"/>
        </w:rPr>
      </w:pPr>
      <w:r>
        <w:rPr>
          <w:sz w:val="20"/>
        </w:rPr>
        <w:t>Передача поставщиком (подрядчиком, исполнителем) заказчику денежных средств в качестве обеспечения гарантийных обязательств (при наличии):</w:t>
      </w:r>
    </w:p>
    <w:p w:rsidR="00000000" w:rsidRDefault="00000000" w:rsidP="00B67A9C">
      <w:pPr>
        <w:widowControl w:val="0"/>
        <w:ind w:firstLine="709"/>
        <w:jc w:val="both"/>
        <w:rPr>
          <w:sz w:val="20"/>
        </w:rPr>
      </w:pPr>
      <w:r>
        <w:rPr>
          <w:sz w:val="20"/>
        </w:rPr>
        <w:t>а) денежные средства, вносимые в качестве обеспечения гарантийных обязательств, должны быть перечислены на указанный в Извещении счет, на котором в соответствии с законодательством Российской Федерации учитываются операции со средствами, поступающими заказчику в размере, установленном в Извещении;</w:t>
      </w:r>
    </w:p>
    <w:p w:rsidR="00000000" w:rsidRDefault="00000000" w:rsidP="00B67A9C">
      <w:pPr>
        <w:widowControl w:val="0"/>
        <w:ind w:firstLine="709"/>
        <w:jc w:val="both"/>
        <w:rPr>
          <w:sz w:val="20"/>
        </w:rPr>
      </w:pPr>
      <w:r>
        <w:rPr>
          <w:sz w:val="20"/>
        </w:rPr>
        <w:t>б) денежные средства, вносимые в качестве обеспечения гарантийных обязательств, должны быть зачислены заказчику до оформления документа о приемке (за исключением отдельного этапа исполнения контракта) поставленного товара, выполненной работы (ее результатов), оказанной услуги. В противном случае обеспечение гарантийных обязательств в виде внесения денежных средств считается непредоставленным;</w:t>
      </w:r>
    </w:p>
    <w:p w:rsidR="00000000" w:rsidRDefault="00000000" w:rsidP="00B67A9C">
      <w:pPr>
        <w:widowControl w:val="0"/>
        <w:ind w:firstLine="709"/>
        <w:jc w:val="both"/>
        <w:rPr>
          <w:sz w:val="20"/>
        </w:rPr>
      </w:pPr>
      <w:r>
        <w:rPr>
          <w:sz w:val="20"/>
        </w:rPr>
        <w:t>в) денежные средства, внесенные в качестве обеспечения гарантийных обязательств, возвращаются заказчиком поставщику (подрядчику, исполнителю) с которым заключен контракт, при условии надлежащего исполнения им гарантийных обязательств по контракту в срок, установленный контрактом.</w:t>
      </w:r>
    </w:p>
    <w:p w:rsidR="00000000" w:rsidRDefault="00000000" w:rsidP="00B67A9C">
      <w:pPr>
        <w:ind w:firstLine="709"/>
        <w:jc w:val="both"/>
        <w:rPr>
          <w:sz w:val="20"/>
        </w:rPr>
      </w:pPr>
      <w:r>
        <w:rPr>
          <w:sz w:val="20"/>
        </w:rPr>
        <w:t>7.14. При осуществлении закупки, предусматривающей заключение контракта жизненного цикла, заказчик устанавливает в извещении, в проекте контракта требование обеспечения исполнения контракта раздельно в части:</w:t>
      </w:r>
    </w:p>
    <w:p w:rsidR="00000000" w:rsidRDefault="00000000" w:rsidP="00B67A9C">
      <w:pPr>
        <w:ind w:firstLine="709"/>
        <w:jc w:val="both"/>
        <w:rPr>
          <w:sz w:val="20"/>
        </w:rPr>
      </w:pPr>
      <w:r>
        <w:rPr>
          <w:sz w:val="20"/>
        </w:rPr>
        <w:t>1) поставки товара или выполнения работы (в том числе при необходимости проектирования объекта капитального строительства, создания товара, который должен быть создан в результате выполнения работы);</w:t>
      </w:r>
    </w:p>
    <w:p w:rsidR="00000000" w:rsidRDefault="00000000" w:rsidP="00B67A9C">
      <w:pPr>
        <w:ind w:firstLine="709"/>
        <w:jc w:val="both"/>
        <w:rPr>
          <w:sz w:val="20"/>
        </w:rPr>
      </w:pPr>
      <w:r>
        <w:rPr>
          <w:sz w:val="20"/>
        </w:rPr>
        <w:t>2) последующего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rsidR="00000000" w:rsidRDefault="00000000" w:rsidP="00B67A9C">
      <w:pPr>
        <w:ind w:firstLine="709"/>
        <w:jc w:val="both"/>
        <w:rPr>
          <w:sz w:val="20"/>
        </w:rPr>
      </w:pPr>
      <w:r>
        <w:rPr>
          <w:sz w:val="20"/>
        </w:rPr>
        <w:t>7.15. В случае заключения контракта жизненного цикла при установлении заказчиком требования обеспечения исполнения контракта:</w:t>
      </w:r>
    </w:p>
    <w:p w:rsidR="00000000" w:rsidRDefault="00000000" w:rsidP="00B67A9C">
      <w:pPr>
        <w:ind w:firstLine="709"/>
        <w:jc w:val="both"/>
        <w:rPr>
          <w:sz w:val="20"/>
        </w:rPr>
      </w:pPr>
      <w:r>
        <w:rPr>
          <w:sz w:val="20"/>
        </w:rPr>
        <w:t>1) размер обеспечения исполнения контракта в части, предусмотренной пунктом 1 части 1.1 статьи 96 Закона № 44-ФЗ, устанавливается в соответствии с частями 6 и 6.1 статьи 96 Закона № 44-ФЗ в извещении, в проекте контракта от стоимости товара или работы (в том числе при необходимости стоимости работ по подготовке проектной документации, стоимости работ по созданию товара);</w:t>
      </w:r>
    </w:p>
    <w:p w:rsidR="00000000" w:rsidRDefault="00000000" w:rsidP="00B67A9C">
      <w:pPr>
        <w:ind w:firstLine="709"/>
        <w:jc w:val="both"/>
        <w:rPr>
          <w:sz w:val="20"/>
        </w:rPr>
      </w:pPr>
      <w:r>
        <w:rPr>
          <w:sz w:val="20"/>
        </w:rPr>
        <w:t>2) размер обеспечения исполнения контракта в части, предусмотренной пунктом 2 части 1.1 статьи 96 Закона № 44-ФЗ, устанавливается в соответствии с частями 6 и 6.1 статьи 96 Закона № 44-ФЗ в извещении, в проекте контракта в размере до десяти процентов от стоимости последующих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rsidR="00000000" w:rsidRDefault="00000000" w:rsidP="00B67A9C">
      <w:pPr>
        <w:ind w:firstLine="709"/>
        <w:jc w:val="both"/>
        <w:rPr>
          <w:sz w:val="20"/>
        </w:rPr>
      </w:pPr>
      <w:r>
        <w:rPr>
          <w:sz w:val="20"/>
        </w:rPr>
        <w:t>7.16. В случае заключения контракта жизненного цикла контракт заключается после предоставления участником закупки, с которым заключается контракт, обеспечения исполнения контракта в части, предусмотренной пунктом 1 части 1.1 статьи 96 Закона № 44-ФЗ.</w:t>
      </w:r>
    </w:p>
    <w:p w:rsidR="00000000" w:rsidRDefault="00000000" w:rsidP="00B67A9C">
      <w:pPr>
        <w:ind w:firstLine="709"/>
        <w:jc w:val="both"/>
        <w:rPr>
          <w:sz w:val="20"/>
        </w:rPr>
      </w:pPr>
    </w:p>
    <w:p w:rsidR="00000000" w:rsidRDefault="00000000" w:rsidP="00B67A9C">
      <w:pPr>
        <w:widowControl w:val="0"/>
        <w:ind w:firstLine="709"/>
        <w:jc w:val="both"/>
        <w:outlineLvl w:val="2"/>
        <w:rPr>
          <w:b/>
          <w:caps/>
          <w:color w:val="auto"/>
          <w:sz w:val="20"/>
        </w:rPr>
      </w:pPr>
      <w:r>
        <w:rPr>
          <w:b/>
          <w:color w:val="auto"/>
          <w:sz w:val="20"/>
        </w:rPr>
        <w:t xml:space="preserve">8. УСЛОВИЯ НЕЗАВИСИМОЙ ГАРАНТИИ, </w:t>
      </w:r>
      <w:r>
        <w:rPr>
          <w:rFonts w:eastAsia="Calibri"/>
          <w:b/>
          <w:caps/>
          <w:color w:val="auto"/>
          <w:sz w:val="20"/>
          <w:lang w:eastAsia="en-US"/>
        </w:rPr>
        <w:t>предоставляемой участником закупки в качестве обеспечения ИСПОЛНЕНИЯ КОНТРАКТА, ОБЕСПЕЧЕНИЯ ГАРАНТИЙНЫХ ОБЯЗАТЕЛЬСТВ</w:t>
      </w:r>
      <w:r>
        <w:rPr>
          <w:b/>
          <w:caps/>
          <w:color w:val="auto"/>
          <w:sz w:val="20"/>
        </w:rPr>
        <w:t xml:space="preserve"> </w:t>
      </w:r>
    </w:p>
    <w:p w:rsidR="00000000" w:rsidRDefault="00000000" w:rsidP="00B67A9C">
      <w:pPr>
        <w:ind w:firstLine="709"/>
        <w:jc w:val="both"/>
        <w:rPr>
          <w:rFonts w:eastAsia="Calibri"/>
          <w:color w:val="auto"/>
          <w:sz w:val="20"/>
        </w:rPr>
      </w:pPr>
      <w:r>
        <w:rPr>
          <w:color w:val="auto"/>
          <w:sz w:val="20"/>
        </w:rPr>
        <w:t xml:space="preserve">8.1. В качестве </w:t>
      </w:r>
      <w:r>
        <w:rPr>
          <w:rFonts w:eastAsia="Calibri"/>
          <w:color w:val="auto"/>
          <w:sz w:val="20"/>
        </w:rPr>
        <w:t xml:space="preserve">обеспечения исполнения контрактов, обеспечения гарантийных обязательств </w:t>
      </w:r>
      <w:r>
        <w:rPr>
          <w:color w:val="auto"/>
          <w:sz w:val="20"/>
        </w:rPr>
        <w:t>принимаются</w:t>
      </w:r>
      <w:r>
        <w:rPr>
          <w:rFonts w:eastAsia="Calibri"/>
          <w:color w:val="auto"/>
          <w:sz w:val="20"/>
          <w:lang w:eastAsia="en-US"/>
        </w:rPr>
        <w:t xml:space="preserve"> независимые гарантии, выданные: </w:t>
      </w:r>
      <w:r>
        <w:rPr>
          <w:rFonts w:eastAsia="Calibri"/>
          <w:color w:val="auto"/>
          <w:sz w:val="20"/>
        </w:rPr>
        <w:t xml:space="preserve">банками, соответствующими требованиям, установленным Правительством Российской Федерации, и включенными в перечень, предусмотренный частью 1.2 статьи 45 </w:t>
      </w:r>
      <w:r>
        <w:rPr>
          <w:color w:val="auto"/>
          <w:sz w:val="20"/>
        </w:rPr>
        <w:t xml:space="preserve">Закона № 44-ФЗ; </w:t>
      </w:r>
      <w:r>
        <w:rPr>
          <w:rFonts w:eastAsia="Calibri"/>
          <w:color w:val="auto"/>
          <w:sz w:val="20"/>
        </w:rPr>
        <w:t xml:space="preserve">государственной корпорацией развития "ВЭБ.РФ";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 209-ФЗ "О развитии малого и среднего предпринимательства в Российской Федерации", соответствующими требованиям, установленным Правительством Российской Федерации, и включенными в перечень, предусмотренный частью 1.7 статьи 45 </w:t>
      </w:r>
      <w:r>
        <w:rPr>
          <w:color w:val="auto"/>
          <w:sz w:val="20"/>
        </w:rPr>
        <w:t>Закона № 44-ФЗ</w:t>
      </w:r>
      <w:r>
        <w:rPr>
          <w:rFonts w:eastAsia="Calibri"/>
          <w:color w:val="auto"/>
          <w:sz w:val="20"/>
        </w:rPr>
        <w:t xml:space="preserve"> (при осуществлении закупок в соответствии с пунктом 1 части 1 статьи 30 </w:t>
      </w:r>
      <w:r>
        <w:rPr>
          <w:color w:val="auto"/>
          <w:sz w:val="20"/>
        </w:rPr>
        <w:t>Закона № 44-ФЗ</w:t>
      </w:r>
      <w:r>
        <w:rPr>
          <w:rFonts w:eastAsia="Calibri"/>
          <w:color w:val="auto"/>
          <w:sz w:val="20"/>
        </w:rPr>
        <w:t>);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000000" w:rsidRDefault="00000000" w:rsidP="00B67A9C">
      <w:pPr>
        <w:ind w:firstLine="708"/>
        <w:jc w:val="both"/>
        <w:rPr>
          <w:color w:val="auto"/>
          <w:sz w:val="20"/>
        </w:rPr>
      </w:pPr>
      <w:r>
        <w:rPr>
          <w:rFonts w:eastAsia="Calibri"/>
          <w:color w:val="auto"/>
          <w:sz w:val="20"/>
          <w:lang w:eastAsia="en-US"/>
        </w:rPr>
        <w:t>8</w:t>
      </w:r>
      <w:r>
        <w:rPr>
          <w:color w:val="auto"/>
          <w:sz w:val="20"/>
        </w:rPr>
        <w:t>.2. Независимая гарантия должна быть безотзывной и должна содержать:</w:t>
      </w:r>
    </w:p>
    <w:p w:rsidR="00000000" w:rsidRDefault="00000000" w:rsidP="00B67A9C">
      <w:pPr>
        <w:ind w:firstLine="708"/>
        <w:jc w:val="both"/>
        <w:rPr>
          <w:color w:val="auto"/>
          <w:sz w:val="20"/>
        </w:rPr>
      </w:pPr>
      <w:r>
        <w:rPr>
          <w:rFonts w:eastAsia="Calibri"/>
          <w:color w:val="auto"/>
          <w:sz w:val="20"/>
        </w:rPr>
        <w:lastRenderedPageBreak/>
        <w:t>1)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Закона № 44-ФЗ, а также идентификационный код закупки, при осуществлении которой предоставляется такая независимая гарантия;</w:t>
      </w:r>
    </w:p>
    <w:p w:rsidR="00000000" w:rsidRDefault="00000000" w:rsidP="00B67A9C">
      <w:pPr>
        <w:ind w:firstLine="708"/>
        <w:jc w:val="both"/>
        <w:rPr>
          <w:color w:val="auto"/>
          <w:sz w:val="20"/>
        </w:rPr>
      </w:pPr>
      <w:r>
        <w:rPr>
          <w:rFonts w:eastAsia="Calibri"/>
          <w:color w:val="auto"/>
          <w:sz w:val="20"/>
        </w:rPr>
        <w:t>2) обязательства принципала, надлежащее исполнение которых обеспечивается независимой гарантией;</w:t>
      </w:r>
    </w:p>
    <w:p w:rsidR="00000000" w:rsidRDefault="00000000" w:rsidP="00B67A9C">
      <w:pPr>
        <w:ind w:firstLine="708"/>
        <w:jc w:val="both"/>
        <w:rPr>
          <w:rFonts w:eastAsia="Calibri"/>
          <w:color w:val="auto"/>
          <w:sz w:val="20"/>
        </w:rPr>
      </w:pPr>
      <w:r>
        <w:rPr>
          <w:rFonts w:eastAsia="Calibri"/>
          <w:color w:val="auto"/>
          <w:sz w:val="20"/>
        </w:rPr>
        <w:t xml:space="preserve">3) обязанность гаранта в случае просрочки исполнения обязательств по независимой гарантии, требование об уплате </w:t>
      </w:r>
      <w:proofErr w:type="gramStart"/>
      <w:r>
        <w:rPr>
          <w:rFonts w:eastAsia="Calibri"/>
          <w:color w:val="auto"/>
          <w:sz w:val="20"/>
        </w:rPr>
        <w:t>денежной суммы</w:t>
      </w:r>
      <w:proofErr w:type="gramEnd"/>
      <w:r>
        <w:rPr>
          <w:rFonts w:eastAsia="Calibri"/>
          <w:color w:val="auto"/>
          <w:sz w:val="20"/>
        </w:rPr>
        <w:t xml:space="preserve">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000000" w:rsidRDefault="00000000" w:rsidP="00B67A9C">
      <w:pPr>
        <w:ind w:firstLine="708"/>
        <w:jc w:val="both"/>
        <w:rPr>
          <w:color w:val="auto"/>
          <w:sz w:val="20"/>
        </w:rPr>
      </w:pPr>
      <w:r>
        <w:rPr>
          <w:rFonts w:eastAsia="Calibri"/>
          <w:color w:val="auto"/>
          <w:sz w:val="20"/>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000000" w:rsidRDefault="00000000" w:rsidP="00B67A9C">
      <w:pPr>
        <w:ind w:firstLine="708"/>
        <w:jc w:val="both"/>
        <w:rPr>
          <w:color w:val="auto"/>
          <w:sz w:val="20"/>
        </w:rPr>
      </w:pPr>
      <w:r>
        <w:rPr>
          <w:rFonts w:eastAsia="Calibri"/>
          <w:color w:val="auto"/>
          <w:sz w:val="20"/>
        </w:rPr>
        <w:t>5) срок действия независимой гарантии с учетом требований статьи 96 Закона № 44-ФЗ;</w:t>
      </w:r>
    </w:p>
    <w:p w:rsidR="00000000" w:rsidRDefault="00000000" w:rsidP="00B67A9C">
      <w:pPr>
        <w:ind w:firstLine="708"/>
        <w:jc w:val="both"/>
        <w:rPr>
          <w:color w:val="auto"/>
          <w:sz w:val="20"/>
        </w:rPr>
      </w:pPr>
      <w:r>
        <w:rPr>
          <w:rFonts w:eastAsia="Calibri"/>
          <w:color w:val="auto"/>
          <w:sz w:val="20"/>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000000" w:rsidRDefault="00000000" w:rsidP="00B67A9C">
      <w:pPr>
        <w:ind w:firstLine="708"/>
        <w:jc w:val="both"/>
        <w:rPr>
          <w:color w:val="auto"/>
          <w:sz w:val="20"/>
        </w:rPr>
      </w:pPr>
      <w:r>
        <w:rPr>
          <w:rFonts w:eastAsia="Calibri"/>
          <w:color w:val="auto"/>
          <w:sz w:val="20"/>
        </w:rPr>
        <w:t xml:space="preserve">7) установленный </w:t>
      </w:r>
      <w:r>
        <w:rPr>
          <w:color w:val="auto"/>
          <w:sz w:val="20"/>
        </w:rPr>
        <w:t>Постановлением № 1005</w:t>
      </w:r>
      <w:r>
        <w:rPr>
          <w:rFonts w:eastAsia="Calibri"/>
          <w:color w:val="auto"/>
          <w:sz w:val="20"/>
        </w:rPr>
        <w:t xml:space="preserve"> перечень документов, предоставляемых заказчиком гаранту одновременно с требованием об </w:t>
      </w:r>
      <w:r>
        <w:rPr>
          <w:color w:val="auto"/>
          <w:sz w:val="20"/>
        </w:rPr>
        <w:t>осуществлении уплаты</w:t>
      </w:r>
      <w:r>
        <w:rPr>
          <w:rFonts w:eastAsia="Calibri"/>
          <w:color w:val="auto"/>
          <w:sz w:val="20"/>
        </w:rPr>
        <w:t xml:space="preserve"> денежной суммы по независимой гарантии.</w:t>
      </w:r>
    </w:p>
    <w:p w:rsidR="00000000" w:rsidRDefault="00000000" w:rsidP="00B67A9C">
      <w:pPr>
        <w:widowControl w:val="0"/>
        <w:ind w:firstLine="709"/>
        <w:jc w:val="both"/>
        <w:rPr>
          <w:rFonts w:eastAsia="Calibri"/>
          <w:color w:val="auto"/>
          <w:sz w:val="20"/>
        </w:rPr>
      </w:pPr>
      <w:r>
        <w:rPr>
          <w:color w:val="auto"/>
          <w:sz w:val="20"/>
        </w:rPr>
        <w:t>8.3. В соответствии с Постановлением № 1005 н</w:t>
      </w:r>
      <w:r>
        <w:rPr>
          <w:rFonts w:eastAsia="Calibri"/>
          <w:color w:val="auto"/>
          <w:sz w:val="20"/>
        </w:rPr>
        <w:t xml:space="preserve">езависимая гарантия оформляется в письменной форме на бумажном носителе или в форме электронного документа, </w:t>
      </w:r>
      <w:r>
        <w:rPr>
          <w:sz w:val="20"/>
        </w:rPr>
        <w:t xml:space="preserve">подписанного усиленной квалифицированной электронной подписью лица, имеющего право действовать от имени гаранта, на условиях, определенных гражданским законодательством и статьей 45 Закона № 44-ФЗ, </w:t>
      </w:r>
      <w:r>
        <w:rPr>
          <w:rFonts w:eastAsia="Calibri"/>
          <w:color w:val="auto"/>
          <w:sz w:val="20"/>
        </w:rPr>
        <w:t>с учетом следующих дополнительных требований:</w:t>
      </w:r>
    </w:p>
    <w:p w:rsidR="00000000" w:rsidRDefault="00000000" w:rsidP="00B67A9C">
      <w:pPr>
        <w:widowControl w:val="0"/>
        <w:ind w:firstLine="709"/>
        <w:jc w:val="both"/>
        <w:rPr>
          <w:color w:val="auto"/>
          <w:sz w:val="20"/>
        </w:rPr>
      </w:pPr>
      <w:r>
        <w:rPr>
          <w:rFonts w:eastAsia="Calibri"/>
          <w:color w:val="auto"/>
          <w:sz w:val="20"/>
        </w:rPr>
        <w:t>а) обязательное закрепление в независимой гарантии:</w:t>
      </w:r>
    </w:p>
    <w:p w:rsidR="00000000" w:rsidRDefault="00000000" w:rsidP="00B67A9C">
      <w:pPr>
        <w:jc w:val="both"/>
        <w:rPr>
          <w:color w:val="auto"/>
          <w:sz w:val="20"/>
        </w:rPr>
      </w:pPr>
      <w:r>
        <w:rPr>
          <w:rFonts w:eastAsia="Calibri"/>
          <w:color w:val="auto"/>
          <w:sz w:val="20"/>
        </w:rPr>
        <w:t xml:space="preserve">права заказчика в случае </w:t>
      </w:r>
      <w:r>
        <w:rPr>
          <w:sz w:val="20"/>
        </w:rPr>
        <w:t xml:space="preserve">неисполнения или ненадлежащего исполнения </w:t>
      </w:r>
      <w:r>
        <w:rPr>
          <w:rFonts w:eastAsia="Calibri"/>
          <w:color w:val="auto"/>
          <w:sz w:val="20"/>
        </w:rPr>
        <w:t xml:space="preserve">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 размер обеспечения исполнения контракта;</w:t>
      </w:r>
    </w:p>
    <w:p w:rsidR="00000000" w:rsidRDefault="00000000" w:rsidP="00B67A9C">
      <w:pPr>
        <w:widowControl w:val="0"/>
        <w:ind w:firstLine="709"/>
        <w:jc w:val="both"/>
        <w:rPr>
          <w:color w:val="auto"/>
          <w:sz w:val="20"/>
        </w:rPr>
      </w:pPr>
      <w:r>
        <w:rPr>
          <w:rFonts w:eastAsia="Calibri"/>
          <w:color w:val="auto"/>
          <w:sz w:val="20"/>
        </w:rPr>
        <w:t xml:space="preserve">права заказчика в случае </w:t>
      </w:r>
      <w:r>
        <w:rPr>
          <w:sz w:val="20"/>
        </w:rPr>
        <w:t>неисполнения или ненадлежащего исполнения</w:t>
      </w:r>
      <w:r>
        <w:rPr>
          <w:rFonts w:eastAsia="Calibri"/>
          <w:color w:val="auto"/>
          <w:sz w:val="20"/>
        </w:rPr>
        <w:t xml:space="preserve">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гарантийных обязательств, в порядке и размере, установленными в контракте в соответствии с Законом № 44-ФЗ;</w:t>
      </w:r>
    </w:p>
    <w:p w:rsidR="00000000" w:rsidRDefault="00000000" w:rsidP="00B67A9C">
      <w:pPr>
        <w:widowControl w:val="0"/>
        <w:ind w:firstLine="709"/>
        <w:jc w:val="both"/>
        <w:rPr>
          <w:color w:val="auto"/>
          <w:sz w:val="20"/>
        </w:rPr>
      </w:pPr>
      <w:r>
        <w:rPr>
          <w:rFonts w:eastAsia="Calibri"/>
          <w:color w:val="auto"/>
          <w:sz w:val="20"/>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000000" w:rsidRDefault="00000000" w:rsidP="00B67A9C">
      <w:pPr>
        <w:widowControl w:val="0"/>
        <w:ind w:firstLine="709"/>
        <w:jc w:val="both"/>
        <w:rPr>
          <w:color w:val="auto"/>
          <w:sz w:val="20"/>
        </w:rPr>
      </w:pPr>
      <w:r>
        <w:rPr>
          <w:rFonts w:eastAsia="Calibri"/>
          <w:color w:val="auto"/>
          <w:sz w:val="20"/>
        </w:rPr>
        <w:t>условия о том, что расходы, возникающие в связи с перечислением денежных средств гарантом по независимой гарантии, несет гарант;</w:t>
      </w:r>
    </w:p>
    <w:p w:rsidR="00000000" w:rsidRDefault="00000000" w:rsidP="00B67A9C">
      <w:pPr>
        <w:widowControl w:val="0"/>
        <w:ind w:firstLine="709"/>
        <w:jc w:val="both"/>
        <w:rPr>
          <w:rFonts w:eastAsia="Calibri"/>
          <w:color w:val="auto"/>
          <w:sz w:val="20"/>
        </w:rPr>
      </w:pPr>
      <w:r>
        <w:rPr>
          <w:rFonts w:eastAsia="Calibri"/>
          <w:color w:val="auto"/>
          <w:sz w:val="20"/>
        </w:rPr>
        <w:t>перечня документов, представляемых заказчиком гаранту одновременно с требованием об уплате денежной суммы по независимой гарантии, утвержденного Постановлением № 1005;</w:t>
      </w:r>
    </w:p>
    <w:p w:rsidR="00000000" w:rsidRDefault="00000000" w:rsidP="00B67A9C">
      <w:pPr>
        <w:ind w:firstLine="540"/>
        <w:jc w:val="both"/>
        <w:rPr>
          <w:sz w:val="20"/>
        </w:rPr>
      </w:pPr>
      <w:r>
        <w:rPr>
          <w:sz w:val="20"/>
        </w:rPr>
        <w:t xml:space="preserve">   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w:t>
      </w:r>
      <w:r>
        <w:rPr>
          <w:color w:val="auto"/>
          <w:sz w:val="20"/>
        </w:rPr>
        <w:t xml:space="preserve"> перечнем</w:t>
      </w:r>
      <w:r>
        <w:rPr>
          <w:sz w:val="20"/>
        </w:rPr>
        <w:t xml:space="preserve">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 1005;</w:t>
      </w:r>
    </w:p>
    <w:p w:rsidR="00000000" w:rsidRDefault="00000000" w:rsidP="00B67A9C">
      <w:pPr>
        <w:ind w:firstLine="540"/>
        <w:jc w:val="both"/>
        <w:rPr>
          <w:sz w:val="20"/>
        </w:rPr>
      </w:pPr>
      <w:r>
        <w:rPr>
          <w:sz w:val="20"/>
        </w:rPr>
        <w:t xml:space="preserve">   условия о рассмотрении споров, возникающих в связи с исполнением обязательств по независимой гарантии, в арбитражном суде;</w:t>
      </w:r>
    </w:p>
    <w:p w:rsidR="00000000" w:rsidRDefault="00000000" w:rsidP="00B67A9C">
      <w:pPr>
        <w:widowControl w:val="0"/>
        <w:ind w:firstLine="709"/>
        <w:jc w:val="both"/>
        <w:rPr>
          <w:rFonts w:eastAsia="Calibri"/>
          <w:color w:val="auto"/>
          <w:sz w:val="20"/>
        </w:rPr>
      </w:pPr>
      <w:r>
        <w:rPr>
          <w:rFonts w:eastAsia="Calibri"/>
          <w:color w:val="auto"/>
          <w:sz w:val="20"/>
        </w:rPr>
        <w:t>б) недопустимость включения в независимую гарантию:</w:t>
      </w:r>
    </w:p>
    <w:p w:rsidR="00000000" w:rsidRDefault="00000000" w:rsidP="00B67A9C">
      <w:pPr>
        <w:widowControl w:val="0"/>
        <w:ind w:firstLine="709"/>
        <w:jc w:val="both"/>
        <w:rPr>
          <w:rFonts w:eastAsia="Calibri"/>
          <w:color w:val="auto"/>
          <w:sz w:val="20"/>
        </w:rPr>
      </w:pPr>
      <w:r>
        <w:rPr>
          <w:rFonts w:eastAsia="Calibri"/>
          <w:color w:val="auto"/>
          <w:sz w:val="20"/>
        </w:rPr>
        <w:t>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000000" w:rsidRDefault="00000000" w:rsidP="00B67A9C">
      <w:pPr>
        <w:widowControl w:val="0"/>
        <w:ind w:firstLine="709"/>
        <w:jc w:val="both"/>
        <w:rPr>
          <w:rFonts w:eastAsia="Calibri"/>
          <w:color w:val="auto"/>
          <w:sz w:val="20"/>
        </w:rPr>
      </w:pPr>
      <w:r>
        <w:rPr>
          <w:rFonts w:eastAsia="Calibri"/>
          <w:color w:val="auto"/>
          <w:sz w:val="20"/>
        </w:rPr>
        <w:t>требований о предоставлении заказчиком гаранту отчета об исполнении контракта, гарантийных обязательств;</w:t>
      </w:r>
    </w:p>
    <w:p w:rsidR="00000000" w:rsidRDefault="00000000" w:rsidP="00B67A9C">
      <w:pPr>
        <w:widowControl w:val="0"/>
        <w:ind w:firstLine="709"/>
        <w:jc w:val="both"/>
        <w:rPr>
          <w:rFonts w:eastAsia="Calibri"/>
          <w:color w:val="auto"/>
          <w:sz w:val="20"/>
        </w:rPr>
      </w:pPr>
      <w:r>
        <w:rPr>
          <w:rFonts w:eastAsia="Calibri"/>
          <w:color w:val="auto"/>
          <w:sz w:val="20"/>
        </w:rPr>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уплате денежной суммы по независимой гарантии, утвержденный Постановлением № 1005;</w:t>
      </w:r>
    </w:p>
    <w:p w:rsidR="00000000" w:rsidRDefault="00000000" w:rsidP="00B67A9C">
      <w:pPr>
        <w:widowControl w:val="0"/>
        <w:ind w:firstLine="709"/>
        <w:jc w:val="both"/>
        <w:rPr>
          <w:rFonts w:eastAsia="Calibri"/>
          <w:color w:val="auto"/>
          <w:sz w:val="20"/>
        </w:rPr>
      </w:pPr>
      <w:r>
        <w:rPr>
          <w:rFonts w:eastAsia="Calibri"/>
          <w:color w:val="auto"/>
          <w:sz w:val="20"/>
        </w:rPr>
        <w:t>в)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000000" w:rsidRDefault="00000000" w:rsidP="00B67A9C">
      <w:pPr>
        <w:ind w:firstLine="708"/>
        <w:jc w:val="both"/>
        <w:rPr>
          <w:rFonts w:eastAsia="Calibri"/>
          <w:color w:val="auto"/>
          <w:sz w:val="20"/>
        </w:rPr>
      </w:pPr>
      <w:r>
        <w:rPr>
          <w:rFonts w:eastAsia="Calibri"/>
          <w:color w:val="auto"/>
          <w:sz w:val="20"/>
        </w:rPr>
        <w:t>8.4.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000000" w:rsidRDefault="00000000" w:rsidP="00B67A9C">
      <w:pPr>
        <w:ind w:firstLine="709"/>
        <w:jc w:val="both"/>
        <w:rPr>
          <w:rFonts w:eastAsia="Calibri"/>
          <w:color w:val="auto"/>
          <w:sz w:val="20"/>
        </w:rPr>
      </w:pPr>
      <w:r>
        <w:rPr>
          <w:color w:val="auto"/>
          <w:sz w:val="20"/>
        </w:rPr>
        <w:t xml:space="preserve">8.5. </w:t>
      </w:r>
      <w:r>
        <w:rPr>
          <w:rFonts w:eastAsia="Calibri"/>
          <w:color w:val="auto"/>
          <w:sz w:val="20"/>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000000" w:rsidRDefault="00000000" w:rsidP="00B67A9C">
      <w:pPr>
        <w:ind w:firstLine="709"/>
        <w:jc w:val="both"/>
        <w:rPr>
          <w:rFonts w:eastAsia="Calibri"/>
          <w:sz w:val="20"/>
        </w:rPr>
      </w:pPr>
      <w:r>
        <w:rPr>
          <w:rFonts w:eastAsia="Calibri"/>
          <w:sz w:val="20"/>
        </w:rPr>
        <w:t>8.6. Независимая гарантия, предоставляемая в качестве обеспечения исполнения контракта, должна</w:t>
      </w:r>
      <w:r>
        <w:rPr>
          <w:sz w:val="20"/>
        </w:rPr>
        <w:t xml:space="preserve"> быть составлена по утвержденной Постановлением № 1005 типовой форме независимой гарантии, предоставляемой в качестве обеспечения исполнения контракта.</w:t>
      </w:r>
    </w:p>
    <w:p w:rsidR="00000000" w:rsidRDefault="00000000" w:rsidP="00B67A9C">
      <w:pPr>
        <w:ind w:firstLine="709"/>
        <w:jc w:val="both"/>
        <w:rPr>
          <w:rFonts w:eastAsia="Calibri"/>
          <w:color w:val="auto"/>
          <w:sz w:val="20"/>
        </w:rPr>
      </w:pPr>
      <w:r>
        <w:rPr>
          <w:color w:val="auto"/>
          <w:sz w:val="20"/>
        </w:rPr>
        <w:lastRenderedPageBreak/>
        <w:t>8.7. Заказчик рассматривает поступившую независимую гарантию в срок, не превышающий трех рабочих дней со дня ее поступления, если Законом № 44-ФЗ не установлено иное.</w:t>
      </w:r>
    </w:p>
    <w:p w:rsidR="00000000" w:rsidRDefault="00000000" w:rsidP="00B67A9C">
      <w:pPr>
        <w:ind w:firstLine="709"/>
        <w:jc w:val="both"/>
        <w:rPr>
          <w:rFonts w:eastAsia="Calibri"/>
          <w:color w:val="auto"/>
          <w:sz w:val="20"/>
        </w:rPr>
      </w:pPr>
      <w:r>
        <w:rPr>
          <w:color w:val="auto"/>
          <w:sz w:val="20"/>
        </w:rPr>
        <w:t>8.8.</w:t>
      </w:r>
      <w:r>
        <w:rPr>
          <w:rFonts w:eastAsia="Calibri"/>
          <w:color w:val="auto"/>
          <w:sz w:val="20"/>
        </w:rPr>
        <w:t xml:space="preserve"> Основанием для отказа в принятии независимой гарантии заказчиком является:</w:t>
      </w:r>
    </w:p>
    <w:p w:rsidR="00000000" w:rsidRDefault="00000000" w:rsidP="00B67A9C">
      <w:pPr>
        <w:ind w:firstLine="709"/>
        <w:jc w:val="both"/>
        <w:rPr>
          <w:rFonts w:eastAsia="Calibri"/>
          <w:color w:val="auto"/>
          <w:sz w:val="20"/>
        </w:rPr>
      </w:pPr>
      <w:r>
        <w:rPr>
          <w:rFonts w:eastAsia="Calibri"/>
          <w:bCs/>
          <w:color w:val="auto"/>
          <w:sz w:val="20"/>
        </w:rPr>
        <w:t>1) отсутствие информации о независимой гарантии в предусмотренном статьей 45 Закона № 44-ФЗ реестре независимых гарантий;</w:t>
      </w:r>
    </w:p>
    <w:p w:rsidR="00000000" w:rsidRDefault="00000000" w:rsidP="00B67A9C">
      <w:pPr>
        <w:ind w:firstLine="709"/>
        <w:jc w:val="both"/>
        <w:rPr>
          <w:rFonts w:eastAsia="Calibri"/>
          <w:color w:val="auto"/>
          <w:sz w:val="20"/>
        </w:rPr>
      </w:pPr>
      <w:r>
        <w:rPr>
          <w:rFonts w:eastAsia="Calibri"/>
          <w:bCs/>
          <w:color w:val="auto"/>
          <w:sz w:val="20"/>
        </w:rPr>
        <w:t>2) несоответствие независимой гарантии требованиям, предусмотренным частями 2, 3 и 8.2 статьи 45 Закона № 44-ФЗ;</w:t>
      </w:r>
    </w:p>
    <w:p w:rsidR="00000000" w:rsidRDefault="00000000" w:rsidP="00B67A9C">
      <w:pPr>
        <w:ind w:firstLine="709"/>
        <w:jc w:val="both"/>
        <w:rPr>
          <w:rFonts w:eastAsia="Calibri"/>
          <w:color w:val="auto"/>
          <w:sz w:val="20"/>
        </w:rPr>
      </w:pPr>
      <w:r>
        <w:rPr>
          <w:rFonts w:eastAsia="Calibri"/>
          <w:bCs/>
          <w:color w:val="auto"/>
          <w:sz w:val="20"/>
        </w:rPr>
        <w:t>3) несоответствие независимой гарантии требованиям, содержащимся в Извещении.</w:t>
      </w:r>
    </w:p>
    <w:p w:rsidR="00000000" w:rsidRDefault="00000000" w:rsidP="00B67A9C">
      <w:pPr>
        <w:ind w:firstLine="709"/>
        <w:jc w:val="both"/>
        <w:rPr>
          <w:rFonts w:eastAsia="Calibri"/>
          <w:color w:val="auto"/>
          <w:sz w:val="20"/>
        </w:rPr>
      </w:pPr>
      <w:r>
        <w:rPr>
          <w:rFonts w:eastAsia="Calibri"/>
          <w:color w:val="auto"/>
          <w:sz w:val="20"/>
        </w:rPr>
        <w:t xml:space="preserve">8.9. В случае отказа в принятии независимой гарантии заказчик в срок, установленный частью 5 статьи 45 Закона </w:t>
      </w:r>
      <w:r>
        <w:rPr>
          <w:rFonts w:eastAsia="Calibri"/>
          <w:color w:val="auto"/>
          <w:sz w:val="20"/>
        </w:rPr>
        <w:br/>
        <w:t>№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000000" w:rsidRDefault="00000000" w:rsidP="00B67A9C">
      <w:pPr>
        <w:ind w:firstLine="709"/>
        <w:jc w:val="both"/>
        <w:rPr>
          <w:rFonts w:eastAsia="Calibri"/>
          <w:color w:val="auto"/>
          <w:sz w:val="20"/>
        </w:rPr>
      </w:pPr>
      <w:r>
        <w:rPr>
          <w:color w:val="auto"/>
          <w:sz w:val="20"/>
        </w:rPr>
        <w:t xml:space="preserve"> 8.10.</w:t>
      </w:r>
      <w:r>
        <w:rPr>
          <w:rFonts w:eastAsia="Calibri"/>
          <w:color w:val="auto"/>
          <w:sz w:val="20"/>
        </w:rPr>
        <w:t xml:space="preserve"> Независимая гарантия, информация о ней и документы, предусмотренные частью 9 статьи 45 Закона № 44-ФЗ, должны быть включены в реестр независимых гарантий, размещенный в ЕИС, за исключением независимых гарантий, указанных в части 8.1 статьи 45 Закона № 44-ФЗ. Ведение такого реестра осуществляется путем включения в соответствии с порядком, предусмотренным частью 8.2 статьи 45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000000" w:rsidRDefault="00000000" w:rsidP="00B67A9C">
      <w:pPr>
        <w:ind w:firstLine="709"/>
        <w:jc w:val="both"/>
        <w:rPr>
          <w:rFonts w:eastAsia="Calibri"/>
          <w:color w:val="auto"/>
          <w:sz w:val="20"/>
        </w:rPr>
      </w:pPr>
      <w:r>
        <w:rPr>
          <w:rFonts w:eastAsia="Calibri"/>
          <w:color w:val="auto"/>
          <w:sz w:val="20"/>
        </w:rPr>
        <w:t>8.11. Уменьшение в соответствии с частями 7 и 7.1 статьи 96 Закона № 44-ФЗ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частью 7.2 статьи 96 Закона № 44-ФЗ информации в реестр контрактов, предусмотренный статьей 103 Закона № 44-ФЗ.</w:t>
      </w:r>
    </w:p>
    <w:p w:rsidR="00000000" w:rsidRDefault="00000000" w:rsidP="00B67A9C">
      <w:pPr>
        <w:widowControl w:val="0"/>
        <w:ind w:firstLine="708"/>
        <w:jc w:val="both"/>
        <w:rPr>
          <w:color w:val="auto"/>
          <w:sz w:val="20"/>
        </w:rPr>
      </w:pPr>
    </w:p>
    <w:p w:rsidR="00000000" w:rsidRDefault="00000000" w:rsidP="00B67A9C">
      <w:pPr>
        <w:widowControl w:val="0"/>
        <w:ind w:firstLine="709"/>
        <w:jc w:val="both"/>
        <w:rPr>
          <w:strike/>
          <w:color w:val="auto"/>
          <w:sz w:val="20"/>
        </w:rPr>
      </w:pPr>
    </w:p>
    <w:p w:rsidR="00000000" w:rsidRDefault="00000000" w:rsidP="00B67A9C">
      <w:pPr>
        <w:widowControl w:val="0"/>
        <w:ind w:firstLine="708"/>
        <w:jc w:val="both"/>
        <w:rPr>
          <w:color w:val="auto"/>
          <w:sz w:val="20"/>
        </w:rPr>
      </w:pPr>
    </w:p>
    <w:p w:rsidR="00000000" w:rsidRDefault="00000000" w:rsidP="00B67A9C">
      <w:pPr>
        <w:rPr>
          <w:color w:val="FF0000"/>
          <w:sz w:val="20"/>
        </w:rPr>
      </w:pPr>
    </w:p>
    <w:p w:rsidR="00000000" w:rsidRDefault="00000000" w:rsidP="00B67A9C">
      <w:pPr>
        <w:ind w:firstLine="709"/>
        <w:jc w:val="both"/>
        <w:rPr>
          <w:color w:val="FF0000"/>
          <w:sz w:val="20"/>
        </w:rPr>
      </w:pPr>
    </w:p>
    <w:p w:rsidR="00000000" w:rsidRDefault="00000000" w:rsidP="00B67A9C">
      <w:pPr>
        <w:ind w:firstLine="709"/>
        <w:jc w:val="both"/>
        <w:rPr>
          <w:color w:val="FF0000"/>
          <w:sz w:val="20"/>
        </w:rPr>
      </w:pPr>
    </w:p>
    <w:p w:rsidR="00000000" w:rsidRDefault="00000000" w:rsidP="00B67A9C">
      <w:pPr>
        <w:widowControl w:val="0"/>
        <w:ind w:firstLine="709"/>
        <w:jc w:val="both"/>
        <w:rPr>
          <w:color w:val="FF0000"/>
          <w:sz w:val="20"/>
        </w:rPr>
      </w:pPr>
    </w:p>
    <w:p w:rsidR="00000000" w:rsidRPr="00B67A9C" w:rsidRDefault="00000000" w:rsidP="00B67A9C"/>
    <w:sectPr w:rsidR="002953AD" w:rsidRPr="00B67A9C">
      <w:headerReference w:type="default" r:id="rId12"/>
      <w:footerReference w:type="default" r:id="rId13"/>
      <w:headerReference w:type="first" r:id="rId14"/>
      <w:pgSz w:w="11906" w:h="16838"/>
      <w:pgMar w:top="238" w:right="567" w:bottom="244" w:left="567" w:header="113" w:footer="11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C2CA0" w:rsidRDefault="00AC2CA0">
      <w:r>
        <w:separator/>
      </w:r>
    </w:p>
  </w:endnote>
  <w:endnote w:type="continuationSeparator" w:id="0">
    <w:p w:rsidR="00AC2CA0" w:rsidRDefault="00AC2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XO Thames">
    <w:altName w:val="Cambria"/>
    <w:panose1 w:val="020B0604020202020204"/>
    <w:charset w:val="00"/>
    <w:family w:val="auto"/>
    <w:pitch w:val="default"/>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0000" w:rsidRDefault="00000000">
    <w:pPr>
      <w:pStyle w:val="af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C2CA0" w:rsidRDefault="00AC2CA0">
      <w:r>
        <w:separator/>
      </w:r>
    </w:p>
  </w:footnote>
  <w:footnote w:type="continuationSeparator" w:id="0">
    <w:p w:rsidR="00AC2CA0" w:rsidRDefault="00AC2CA0">
      <w:r>
        <w:continuationSeparator/>
      </w:r>
    </w:p>
  </w:footnote>
  <w:footnote w:id="1">
    <w:p w:rsidR="00000000" w:rsidRDefault="00000000" w:rsidP="00B67A9C">
      <w:pPr>
        <w:ind w:firstLine="540"/>
        <w:jc w:val="both"/>
      </w:pPr>
      <w:r>
        <w:rPr>
          <w:vertAlign w:val="superscript"/>
        </w:rPr>
        <w:footnoteRef/>
      </w:r>
      <w:r>
        <w:t xml:space="preserve"> </w:t>
      </w:r>
      <w:r>
        <w:rPr>
          <w:sz w:val="18"/>
        </w:rPr>
        <w:t>информация включается в заявку на участие в запросе котировок в случае осуществления закупки товара, в том числе поставляемого заказчику при выполнении закупаемых работ, оказании закупаемых услуг. Информация может не включаться в заявку на участие в запросе котировок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 Информация не включается в заявку на участие в запросе котировок в случае включения заказчиком в соответствии с пунктом 8 части 1 статьи 33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0000" w:rsidRDefault="00000000">
    <w:pPr>
      <w:framePr w:wrap="around" w:vAnchor="text" w:hAnchor="margin" w:xAlign="center" w:y="1"/>
    </w:pPr>
    <w:r>
      <w:fldChar w:fldCharType="begin"/>
    </w:r>
    <w:r>
      <w:instrText xml:space="preserve">PAGE </w:instrText>
    </w:r>
    <w:r>
      <w:fldChar w:fldCharType="separate"/>
    </w:r>
    <w:r>
      <w:t>18</w:t>
    </w:r>
    <w:r>
      <w:fldChar w:fldCharType="end"/>
    </w:r>
  </w:p>
  <w:p w:rsidR="00000000" w:rsidRDefault="00000000">
    <w:pPr>
      <w:pStyle w:val="af2"/>
      <w:jc w:val="center"/>
      <w:rPr>
        <w:sz w:val="16"/>
      </w:rPr>
    </w:pPr>
  </w:p>
  <w:p w:rsidR="00000000" w:rsidRDefault="00000000">
    <w:pPr>
      <w:pStyle w:val="af2"/>
      <w:tabs>
        <w:tab w:val="clear" w:pos="4153"/>
        <w:tab w:val="clear" w:pos="8306"/>
        <w:tab w:val="center" w:pos="5386"/>
        <w:tab w:val="right" w:pos="1077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0000" w:rsidRDefault="00000000">
    <w:pPr>
      <w:pStyle w:val="af2"/>
      <w:jc w:val="center"/>
      <w:rPr>
        <w:sz w:val="16"/>
      </w:rPr>
    </w:pPr>
  </w:p>
  <w:p w:rsidR="00000000" w:rsidRDefault="00000000">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32CBD"/>
    <w:multiLevelType w:val="multilevel"/>
    <w:tmpl w:val="DFB0FE50"/>
    <w:lvl w:ilvl="0">
      <w:start w:val="4"/>
      <w:numFmt w:val="decimal"/>
      <w:lvlText w:val="%1."/>
      <w:lvlJc w:val="left"/>
      <w:pPr>
        <w:ind w:left="360" w:hanging="360"/>
      </w:pPr>
    </w:lvl>
    <w:lvl w:ilvl="1">
      <w:start w:val="1"/>
      <w:numFmt w:val="decimal"/>
      <w:lvlText w:val="%1.%2."/>
      <w:lvlJc w:val="left"/>
      <w:pPr>
        <w:ind w:left="1068" w:hanging="360"/>
      </w:pPr>
    </w:lvl>
    <w:lvl w:ilvl="2">
      <w:start w:val="1"/>
      <w:numFmt w:val="decimal"/>
      <w:lvlText w:val="%1.%2.%3."/>
      <w:lvlJc w:val="left"/>
      <w:pPr>
        <w:ind w:left="2136" w:hanging="720"/>
      </w:pPr>
    </w:lvl>
    <w:lvl w:ilvl="3">
      <w:start w:val="1"/>
      <w:numFmt w:val="decimal"/>
      <w:lvlText w:val="%1.%2.%3.%4."/>
      <w:lvlJc w:val="left"/>
      <w:pPr>
        <w:ind w:left="2844" w:hanging="720"/>
      </w:pPr>
    </w:lvl>
    <w:lvl w:ilvl="4">
      <w:start w:val="1"/>
      <w:numFmt w:val="decimal"/>
      <w:lvlText w:val="%1.%2.%3.%4.%5."/>
      <w:lvlJc w:val="left"/>
      <w:pPr>
        <w:ind w:left="3912" w:hanging="1080"/>
      </w:pPr>
    </w:lvl>
    <w:lvl w:ilvl="5">
      <w:start w:val="1"/>
      <w:numFmt w:val="decimal"/>
      <w:lvlText w:val="%1.%2.%3.%4.%5.%6."/>
      <w:lvlJc w:val="left"/>
      <w:pPr>
        <w:ind w:left="4620" w:hanging="1080"/>
      </w:pPr>
    </w:lvl>
    <w:lvl w:ilvl="6">
      <w:start w:val="1"/>
      <w:numFmt w:val="decimal"/>
      <w:lvlText w:val="%1.%2.%3.%4.%5.%6.%7."/>
      <w:lvlJc w:val="left"/>
      <w:pPr>
        <w:ind w:left="5688" w:hanging="1440"/>
      </w:pPr>
    </w:lvl>
    <w:lvl w:ilvl="7">
      <w:start w:val="1"/>
      <w:numFmt w:val="decimal"/>
      <w:lvlText w:val="%1.%2.%3.%4.%5.%6.%7.%8."/>
      <w:lvlJc w:val="left"/>
      <w:pPr>
        <w:ind w:left="6396" w:hanging="1440"/>
      </w:pPr>
    </w:lvl>
    <w:lvl w:ilvl="8">
      <w:start w:val="1"/>
      <w:numFmt w:val="decimal"/>
      <w:lvlText w:val="%1.%2.%3.%4.%5.%6.%7.%8.%9."/>
      <w:lvlJc w:val="left"/>
      <w:pPr>
        <w:ind w:left="7464" w:hanging="1800"/>
      </w:pPr>
    </w:lvl>
  </w:abstractNum>
  <w:abstractNum w:abstractNumId="1" w15:restartNumberingAfterBreak="0">
    <w:nsid w:val="28A16F76"/>
    <w:multiLevelType w:val="multilevel"/>
    <w:tmpl w:val="4CA81804"/>
    <w:lvl w:ilvl="0">
      <w:start w:val="4"/>
      <w:numFmt w:val="decimal"/>
      <w:lvlText w:val="%1."/>
      <w:lvlJc w:val="left"/>
      <w:pPr>
        <w:ind w:left="360" w:hanging="360"/>
      </w:pPr>
    </w:lvl>
    <w:lvl w:ilvl="1">
      <w:start w:val="1"/>
      <w:numFmt w:val="decimal"/>
      <w:lvlText w:val="%1.%2."/>
      <w:lvlJc w:val="left"/>
      <w:pPr>
        <w:ind w:left="1068" w:hanging="360"/>
      </w:pPr>
    </w:lvl>
    <w:lvl w:ilvl="2">
      <w:start w:val="1"/>
      <w:numFmt w:val="decimal"/>
      <w:lvlText w:val="%1.%2.%3."/>
      <w:lvlJc w:val="left"/>
      <w:pPr>
        <w:ind w:left="2136" w:hanging="720"/>
      </w:pPr>
    </w:lvl>
    <w:lvl w:ilvl="3">
      <w:start w:val="1"/>
      <w:numFmt w:val="decimal"/>
      <w:lvlText w:val="%1.%2.%3.%4."/>
      <w:lvlJc w:val="left"/>
      <w:pPr>
        <w:ind w:left="2844" w:hanging="720"/>
      </w:pPr>
    </w:lvl>
    <w:lvl w:ilvl="4">
      <w:start w:val="1"/>
      <w:numFmt w:val="decimal"/>
      <w:lvlText w:val="%1.%2.%3.%4.%5."/>
      <w:lvlJc w:val="left"/>
      <w:pPr>
        <w:ind w:left="3912" w:hanging="1080"/>
      </w:pPr>
    </w:lvl>
    <w:lvl w:ilvl="5">
      <w:start w:val="1"/>
      <w:numFmt w:val="decimal"/>
      <w:lvlText w:val="%1.%2.%3.%4.%5.%6."/>
      <w:lvlJc w:val="left"/>
      <w:pPr>
        <w:ind w:left="4620" w:hanging="1080"/>
      </w:pPr>
    </w:lvl>
    <w:lvl w:ilvl="6">
      <w:start w:val="1"/>
      <w:numFmt w:val="decimal"/>
      <w:lvlText w:val="%1.%2.%3.%4.%5.%6.%7."/>
      <w:lvlJc w:val="left"/>
      <w:pPr>
        <w:ind w:left="5688" w:hanging="1440"/>
      </w:pPr>
    </w:lvl>
    <w:lvl w:ilvl="7">
      <w:start w:val="1"/>
      <w:numFmt w:val="decimal"/>
      <w:lvlText w:val="%1.%2.%3.%4.%5.%6.%7.%8."/>
      <w:lvlJc w:val="left"/>
      <w:pPr>
        <w:ind w:left="6396" w:hanging="1440"/>
      </w:pPr>
    </w:lvl>
    <w:lvl w:ilvl="8">
      <w:start w:val="1"/>
      <w:numFmt w:val="decimal"/>
      <w:lvlText w:val="%1.%2.%3.%4.%5.%6.%7.%8.%9."/>
      <w:lvlJc w:val="left"/>
      <w:pPr>
        <w:ind w:left="7464" w:hanging="1800"/>
      </w:pPr>
    </w:lvl>
  </w:abstractNum>
  <w:abstractNum w:abstractNumId="2" w15:restartNumberingAfterBreak="0">
    <w:nsid w:val="293D33F0"/>
    <w:multiLevelType w:val="multilevel"/>
    <w:tmpl w:val="0CC2B51E"/>
    <w:lvl w:ilvl="0">
      <w:start w:val="1"/>
      <w:numFmt w:val="decimal"/>
      <w:lvlText w:val="%1."/>
      <w:lvlJc w:val="left"/>
      <w:pPr>
        <w:ind w:left="1131" w:hanging="705"/>
      </w:pPr>
    </w:lvl>
    <w:lvl w:ilvl="1">
      <w:start w:val="1"/>
      <w:numFmt w:val="decimal"/>
      <w:lvlText w:val="%1.%2."/>
      <w:lvlJc w:val="left"/>
      <w:pPr>
        <w:ind w:left="1069" w:hanging="360"/>
      </w:pPr>
    </w:lvl>
    <w:lvl w:ilvl="2">
      <w:start w:val="1"/>
      <w:numFmt w:val="decimal"/>
      <w:lvlText w:val="%1.%2.%3."/>
      <w:lvlJc w:val="left"/>
      <w:pPr>
        <w:ind w:left="1429" w:hanging="720"/>
      </w:pPr>
    </w:lvl>
    <w:lvl w:ilvl="3">
      <w:start w:val="1"/>
      <w:numFmt w:val="decimal"/>
      <w:lvlText w:val="%1.%2.%3.%4."/>
      <w:lvlJc w:val="left"/>
      <w:pPr>
        <w:ind w:left="1429" w:hanging="720"/>
      </w:pPr>
    </w:lvl>
    <w:lvl w:ilvl="4">
      <w:start w:val="1"/>
      <w:numFmt w:val="decimal"/>
      <w:lvlText w:val="%1.%2.%3.%4.%5."/>
      <w:lvlJc w:val="left"/>
      <w:pPr>
        <w:ind w:left="1789" w:hanging="1080"/>
      </w:pPr>
    </w:lvl>
    <w:lvl w:ilvl="5">
      <w:start w:val="1"/>
      <w:numFmt w:val="decimal"/>
      <w:lvlText w:val="%1.%2.%3.%4.%5.%6."/>
      <w:lvlJc w:val="left"/>
      <w:pPr>
        <w:ind w:left="1789" w:hanging="1080"/>
      </w:pPr>
    </w:lvl>
    <w:lvl w:ilvl="6">
      <w:start w:val="1"/>
      <w:numFmt w:val="decimal"/>
      <w:lvlText w:val="%1.%2.%3.%4.%5.%6.%7."/>
      <w:lvlJc w:val="left"/>
      <w:pPr>
        <w:ind w:left="2149" w:hanging="1440"/>
      </w:pPr>
    </w:lvl>
    <w:lvl w:ilvl="7">
      <w:start w:val="1"/>
      <w:numFmt w:val="decimal"/>
      <w:lvlText w:val="%1.%2.%3.%4.%5.%6.%7.%8."/>
      <w:lvlJc w:val="left"/>
      <w:pPr>
        <w:ind w:left="2149" w:hanging="1440"/>
      </w:pPr>
    </w:lvl>
    <w:lvl w:ilvl="8">
      <w:start w:val="1"/>
      <w:numFmt w:val="decimal"/>
      <w:lvlText w:val="%1.%2.%3.%4.%5.%6.%7.%8.%9."/>
      <w:lvlJc w:val="left"/>
      <w:pPr>
        <w:ind w:left="2509" w:hanging="1800"/>
      </w:pPr>
    </w:lvl>
  </w:abstractNum>
  <w:abstractNum w:abstractNumId="3" w15:restartNumberingAfterBreak="0">
    <w:nsid w:val="3AFE7439"/>
    <w:multiLevelType w:val="multilevel"/>
    <w:tmpl w:val="FCFE575E"/>
    <w:lvl w:ilvl="0">
      <w:start w:val="1"/>
      <w:numFmt w:val="decimal"/>
      <w:lvlText w:val="%1."/>
      <w:lvlJc w:val="left"/>
      <w:pPr>
        <w:ind w:left="1131" w:hanging="705"/>
      </w:pPr>
    </w:lvl>
    <w:lvl w:ilvl="1">
      <w:start w:val="1"/>
      <w:numFmt w:val="decimal"/>
      <w:lvlText w:val="%1.%2."/>
      <w:lvlJc w:val="left"/>
      <w:pPr>
        <w:ind w:left="1069" w:hanging="360"/>
      </w:pPr>
    </w:lvl>
    <w:lvl w:ilvl="2">
      <w:start w:val="1"/>
      <w:numFmt w:val="decimal"/>
      <w:lvlText w:val="%1.%2.%3."/>
      <w:lvlJc w:val="left"/>
      <w:pPr>
        <w:ind w:left="1429" w:hanging="720"/>
      </w:pPr>
    </w:lvl>
    <w:lvl w:ilvl="3">
      <w:start w:val="1"/>
      <w:numFmt w:val="decimal"/>
      <w:lvlText w:val="%1.%2.%3.%4."/>
      <w:lvlJc w:val="left"/>
      <w:pPr>
        <w:ind w:left="1429" w:hanging="720"/>
      </w:pPr>
    </w:lvl>
    <w:lvl w:ilvl="4">
      <w:start w:val="1"/>
      <w:numFmt w:val="decimal"/>
      <w:lvlText w:val="%1.%2.%3.%4.%5."/>
      <w:lvlJc w:val="left"/>
      <w:pPr>
        <w:ind w:left="1789" w:hanging="1080"/>
      </w:pPr>
    </w:lvl>
    <w:lvl w:ilvl="5">
      <w:start w:val="1"/>
      <w:numFmt w:val="decimal"/>
      <w:lvlText w:val="%1.%2.%3.%4.%5.%6."/>
      <w:lvlJc w:val="left"/>
      <w:pPr>
        <w:ind w:left="1789" w:hanging="1080"/>
      </w:pPr>
    </w:lvl>
    <w:lvl w:ilvl="6">
      <w:start w:val="1"/>
      <w:numFmt w:val="decimal"/>
      <w:lvlText w:val="%1.%2.%3.%4.%5.%6.%7."/>
      <w:lvlJc w:val="left"/>
      <w:pPr>
        <w:ind w:left="2149" w:hanging="1440"/>
      </w:pPr>
    </w:lvl>
    <w:lvl w:ilvl="7">
      <w:start w:val="1"/>
      <w:numFmt w:val="decimal"/>
      <w:lvlText w:val="%1.%2.%3.%4.%5.%6.%7.%8."/>
      <w:lvlJc w:val="left"/>
      <w:pPr>
        <w:ind w:left="2149" w:hanging="1440"/>
      </w:pPr>
    </w:lvl>
    <w:lvl w:ilvl="8">
      <w:start w:val="1"/>
      <w:numFmt w:val="decimal"/>
      <w:lvlText w:val="%1.%2.%3.%4.%5.%6.%7.%8.%9."/>
      <w:lvlJc w:val="left"/>
      <w:pPr>
        <w:ind w:left="2509" w:hanging="1800"/>
      </w:pPr>
    </w:lvl>
  </w:abstractNum>
  <w:abstractNum w:abstractNumId="4" w15:restartNumberingAfterBreak="0">
    <w:nsid w:val="4E2A57DF"/>
    <w:multiLevelType w:val="multilevel"/>
    <w:tmpl w:val="08BA3694"/>
    <w:lvl w:ilvl="0">
      <w:start w:val="4"/>
      <w:numFmt w:val="decimal"/>
      <w:lvlText w:val="%1."/>
      <w:lvlJc w:val="left"/>
      <w:pPr>
        <w:ind w:left="360" w:hanging="360"/>
      </w:pPr>
    </w:lvl>
    <w:lvl w:ilvl="1">
      <w:start w:val="1"/>
      <w:numFmt w:val="decimal"/>
      <w:lvlText w:val="%1.%2."/>
      <w:lvlJc w:val="left"/>
      <w:pPr>
        <w:ind w:left="1068" w:hanging="360"/>
      </w:pPr>
    </w:lvl>
    <w:lvl w:ilvl="2">
      <w:start w:val="1"/>
      <w:numFmt w:val="decimal"/>
      <w:lvlText w:val="%1.%2.%3."/>
      <w:lvlJc w:val="left"/>
      <w:pPr>
        <w:ind w:left="2136" w:hanging="720"/>
      </w:pPr>
    </w:lvl>
    <w:lvl w:ilvl="3">
      <w:start w:val="1"/>
      <w:numFmt w:val="decimal"/>
      <w:lvlText w:val="%1.%2.%3.%4."/>
      <w:lvlJc w:val="left"/>
      <w:pPr>
        <w:ind w:left="2844" w:hanging="720"/>
      </w:pPr>
    </w:lvl>
    <w:lvl w:ilvl="4">
      <w:start w:val="1"/>
      <w:numFmt w:val="decimal"/>
      <w:lvlText w:val="%1.%2.%3.%4.%5."/>
      <w:lvlJc w:val="left"/>
      <w:pPr>
        <w:ind w:left="3912" w:hanging="1080"/>
      </w:pPr>
    </w:lvl>
    <w:lvl w:ilvl="5">
      <w:start w:val="1"/>
      <w:numFmt w:val="decimal"/>
      <w:lvlText w:val="%1.%2.%3.%4.%5.%6."/>
      <w:lvlJc w:val="left"/>
      <w:pPr>
        <w:ind w:left="4620" w:hanging="1080"/>
      </w:pPr>
    </w:lvl>
    <w:lvl w:ilvl="6">
      <w:start w:val="1"/>
      <w:numFmt w:val="decimal"/>
      <w:lvlText w:val="%1.%2.%3.%4.%5.%6.%7."/>
      <w:lvlJc w:val="left"/>
      <w:pPr>
        <w:ind w:left="5688" w:hanging="1440"/>
      </w:pPr>
    </w:lvl>
    <w:lvl w:ilvl="7">
      <w:start w:val="1"/>
      <w:numFmt w:val="decimal"/>
      <w:lvlText w:val="%1.%2.%3.%4.%5.%6.%7.%8."/>
      <w:lvlJc w:val="left"/>
      <w:pPr>
        <w:ind w:left="6396" w:hanging="1440"/>
      </w:pPr>
    </w:lvl>
    <w:lvl w:ilvl="8">
      <w:start w:val="1"/>
      <w:numFmt w:val="decimal"/>
      <w:lvlText w:val="%1.%2.%3.%4.%5.%6.%7.%8.%9."/>
      <w:lvlJc w:val="left"/>
      <w:pPr>
        <w:ind w:left="7464" w:hanging="1800"/>
      </w:pPr>
    </w:lvl>
  </w:abstractNum>
  <w:abstractNum w:abstractNumId="5" w15:restartNumberingAfterBreak="0">
    <w:nsid w:val="639B0C67"/>
    <w:multiLevelType w:val="multilevel"/>
    <w:tmpl w:val="7B1A230C"/>
    <w:lvl w:ilvl="0">
      <w:start w:val="4"/>
      <w:numFmt w:val="decimal"/>
      <w:lvlText w:val="%1."/>
      <w:lvlJc w:val="left"/>
      <w:pPr>
        <w:ind w:left="360" w:hanging="360"/>
      </w:pPr>
    </w:lvl>
    <w:lvl w:ilvl="1">
      <w:start w:val="1"/>
      <w:numFmt w:val="decimal"/>
      <w:lvlText w:val="%1.%2."/>
      <w:lvlJc w:val="left"/>
      <w:pPr>
        <w:ind w:left="1068" w:hanging="360"/>
      </w:pPr>
    </w:lvl>
    <w:lvl w:ilvl="2">
      <w:start w:val="1"/>
      <w:numFmt w:val="decimal"/>
      <w:lvlText w:val="%1.%2.%3."/>
      <w:lvlJc w:val="left"/>
      <w:pPr>
        <w:ind w:left="2136" w:hanging="720"/>
      </w:pPr>
    </w:lvl>
    <w:lvl w:ilvl="3">
      <w:start w:val="1"/>
      <w:numFmt w:val="decimal"/>
      <w:lvlText w:val="%1.%2.%3.%4."/>
      <w:lvlJc w:val="left"/>
      <w:pPr>
        <w:ind w:left="2844" w:hanging="720"/>
      </w:pPr>
    </w:lvl>
    <w:lvl w:ilvl="4">
      <w:start w:val="1"/>
      <w:numFmt w:val="decimal"/>
      <w:lvlText w:val="%1.%2.%3.%4.%5."/>
      <w:lvlJc w:val="left"/>
      <w:pPr>
        <w:ind w:left="3912" w:hanging="1080"/>
      </w:pPr>
    </w:lvl>
    <w:lvl w:ilvl="5">
      <w:start w:val="1"/>
      <w:numFmt w:val="decimal"/>
      <w:lvlText w:val="%1.%2.%3.%4.%5.%6."/>
      <w:lvlJc w:val="left"/>
      <w:pPr>
        <w:ind w:left="4620" w:hanging="1080"/>
      </w:pPr>
    </w:lvl>
    <w:lvl w:ilvl="6">
      <w:start w:val="1"/>
      <w:numFmt w:val="decimal"/>
      <w:lvlText w:val="%1.%2.%3.%4.%5.%6.%7."/>
      <w:lvlJc w:val="left"/>
      <w:pPr>
        <w:ind w:left="5688" w:hanging="1440"/>
      </w:pPr>
    </w:lvl>
    <w:lvl w:ilvl="7">
      <w:start w:val="1"/>
      <w:numFmt w:val="decimal"/>
      <w:lvlText w:val="%1.%2.%3.%4.%5.%6.%7.%8."/>
      <w:lvlJc w:val="left"/>
      <w:pPr>
        <w:ind w:left="6396" w:hanging="1440"/>
      </w:pPr>
    </w:lvl>
    <w:lvl w:ilvl="8">
      <w:start w:val="1"/>
      <w:numFmt w:val="decimal"/>
      <w:lvlText w:val="%1.%2.%3.%4.%5.%6.%7.%8.%9."/>
      <w:lvlJc w:val="left"/>
      <w:pPr>
        <w:ind w:left="7464" w:hanging="1800"/>
      </w:pPr>
    </w:lvl>
  </w:abstractNum>
  <w:abstractNum w:abstractNumId="6" w15:restartNumberingAfterBreak="0">
    <w:nsid w:val="67E17E45"/>
    <w:multiLevelType w:val="multilevel"/>
    <w:tmpl w:val="D3D2BD1C"/>
    <w:lvl w:ilvl="0">
      <w:start w:val="1"/>
      <w:numFmt w:val="decimal"/>
      <w:lvlText w:val="%1."/>
      <w:lvlJc w:val="left"/>
      <w:pPr>
        <w:ind w:left="1131" w:hanging="705"/>
      </w:pPr>
    </w:lvl>
    <w:lvl w:ilvl="1">
      <w:start w:val="1"/>
      <w:numFmt w:val="decimal"/>
      <w:lvlText w:val="%1.%2."/>
      <w:lvlJc w:val="left"/>
      <w:pPr>
        <w:ind w:left="1069" w:hanging="360"/>
      </w:pPr>
    </w:lvl>
    <w:lvl w:ilvl="2">
      <w:start w:val="1"/>
      <w:numFmt w:val="decimal"/>
      <w:lvlText w:val="%1.%2.%3."/>
      <w:lvlJc w:val="left"/>
      <w:pPr>
        <w:ind w:left="1429" w:hanging="720"/>
      </w:pPr>
    </w:lvl>
    <w:lvl w:ilvl="3">
      <w:start w:val="1"/>
      <w:numFmt w:val="decimal"/>
      <w:lvlText w:val="%1.%2.%3.%4."/>
      <w:lvlJc w:val="left"/>
      <w:pPr>
        <w:ind w:left="1429" w:hanging="720"/>
      </w:pPr>
    </w:lvl>
    <w:lvl w:ilvl="4">
      <w:start w:val="1"/>
      <w:numFmt w:val="decimal"/>
      <w:lvlText w:val="%1.%2.%3.%4.%5."/>
      <w:lvlJc w:val="left"/>
      <w:pPr>
        <w:ind w:left="1789" w:hanging="1080"/>
      </w:pPr>
    </w:lvl>
    <w:lvl w:ilvl="5">
      <w:start w:val="1"/>
      <w:numFmt w:val="decimal"/>
      <w:lvlText w:val="%1.%2.%3.%4.%5.%6."/>
      <w:lvlJc w:val="left"/>
      <w:pPr>
        <w:ind w:left="1789" w:hanging="1080"/>
      </w:pPr>
    </w:lvl>
    <w:lvl w:ilvl="6">
      <w:start w:val="1"/>
      <w:numFmt w:val="decimal"/>
      <w:lvlText w:val="%1.%2.%3.%4.%5.%6.%7."/>
      <w:lvlJc w:val="left"/>
      <w:pPr>
        <w:ind w:left="2149" w:hanging="1440"/>
      </w:pPr>
    </w:lvl>
    <w:lvl w:ilvl="7">
      <w:start w:val="1"/>
      <w:numFmt w:val="decimal"/>
      <w:lvlText w:val="%1.%2.%3.%4.%5.%6.%7.%8."/>
      <w:lvlJc w:val="left"/>
      <w:pPr>
        <w:ind w:left="2149" w:hanging="1440"/>
      </w:pPr>
    </w:lvl>
    <w:lvl w:ilvl="8">
      <w:start w:val="1"/>
      <w:numFmt w:val="decimal"/>
      <w:lvlText w:val="%1.%2.%3.%4.%5.%6.%7.%8.%9."/>
      <w:lvlJc w:val="left"/>
      <w:pPr>
        <w:ind w:left="2509" w:hanging="1800"/>
      </w:pPr>
    </w:lvl>
  </w:abstractNum>
  <w:abstractNum w:abstractNumId="7" w15:restartNumberingAfterBreak="0">
    <w:nsid w:val="7CD601B1"/>
    <w:multiLevelType w:val="multilevel"/>
    <w:tmpl w:val="F75C4256"/>
    <w:lvl w:ilvl="0">
      <w:start w:val="1"/>
      <w:numFmt w:val="decimal"/>
      <w:lvlText w:val="%1."/>
      <w:lvlJc w:val="left"/>
      <w:pPr>
        <w:ind w:left="1131" w:hanging="705"/>
      </w:pPr>
    </w:lvl>
    <w:lvl w:ilvl="1">
      <w:start w:val="1"/>
      <w:numFmt w:val="decimal"/>
      <w:lvlText w:val="%1.%2."/>
      <w:lvlJc w:val="left"/>
      <w:pPr>
        <w:ind w:left="1069" w:hanging="360"/>
      </w:pPr>
    </w:lvl>
    <w:lvl w:ilvl="2">
      <w:start w:val="1"/>
      <w:numFmt w:val="decimal"/>
      <w:lvlText w:val="%1.%2.%3."/>
      <w:lvlJc w:val="left"/>
      <w:pPr>
        <w:ind w:left="1429" w:hanging="720"/>
      </w:pPr>
    </w:lvl>
    <w:lvl w:ilvl="3">
      <w:start w:val="1"/>
      <w:numFmt w:val="decimal"/>
      <w:lvlText w:val="%1.%2.%3.%4."/>
      <w:lvlJc w:val="left"/>
      <w:pPr>
        <w:ind w:left="1429" w:hanging="720"/>
      </w:pPr>
    </w:lvl>
    <w:lvl w:ilvl="4">
      <w:start w:val="1"/>
      <w:numFmt w:val="decimal"/>
      <w:lvlText w:val="%1.%2.%3.%4.%5."/>
      <w:lvlJc w:val="left"/>
      <w:pPr>
        <w:ind w:left="1789" w:hanging="1080"/>
      </w:pPr>
    </w:lvl>
    <w:lvl w:ilvl="5">
      <w:start w:val="1"/>
      <w:numFmt w:val="decimal"/>
      <w:lvlText w:val="%1.%2.%3.%4.%5.%6."/>
      <w:lvlJc w:val="left"/>
      <w:pPr>
        <w:ind w:left="1789" w:hanging="1080"/>
      </w:pPr>
    </w:lvl>
    <w:lvl w:ilvl="6">
      <w:start w:val="1"/>
      <w:numFmt w:val="decimal"/>
      <w:lvlText w:val="%1.%2.%3.%4.%5.%6.%7."/>
      <w:lvlJc w:val="left"/>
      <w:pPr>
        <w:ind w:left="2149" w:hanging="1440"/>
      </w:pPr>
    </w:lvl>
    <w:lvl w:ilvl="7">
      <w:start w:val="1"/>
      <w:numFmt w:val="decimal"/>
      <w:lvlText w:val="%1.%2.%3.%4.%5.%6.%7.%8."/>
      <w:lvlJc w:val="left"/>
      <w:pPr>
        <w:ind w:left="2149" w:hanging="1440"/>
      </w:pPr>
    </w:lvl>
    <w:lvl w:ilvl="8">
      <w:start w:val="1"/>
      <w:numFmt w:val="decimal"/>
      <w:lvlText w:val="%1.%2.%3.%4.%5.%6.%7.%8.%9."/>
      <w:lvlJc w:val="left"/>
      <w:pPr>
        <w:ind w:left="2509" w:hanging="1800"/>
      </w:pPr>
    </w:lvl>
  </w:abstractNum>
  <w:num w:numId="1" w16cid:durableId="1395930942">
    <w:abstractNumId w:val="6"/>
  </w:num>
  <w:num w:numId="2" w16cid:durableId="714356750">
    <w:abstractNumId w:val="1"/>
  </w:num>
  <w:num w:numId="3" w16cid:durableId="1981767936">
    <w:abstractNumId w:val="7"/>
  </w:num>
  <w:num w:numId="4" w16cid:durableId="1196583395">
    <w:abstractNumId w:val="5"/>
  </w:num>
  <w:num w:numId="5" w16cid:durableId="1727141791">
    <w:abstractNumId w:val="3"/>
  </w:num>
  <w:num w:numId="6" w16cid:durableId="239146203">
    <w:abstractNumId w:val="4"/>
  </w:num>
  <w:num w:numId="7" w16cid:durableId="1546797505">
    <w:abstractNumId w:val="2"/>
  </w:num>
  <w:num w:numId="8" w16cid:durableId="996811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335C"/>
    <w:rsid w:val="00067687"/>
    <w:rsid w:val="001E122B"/>
    <w:rsid w:val="0037335C"/>
    <w:rsid w:val="00AC2CA0"/>
  </w:rsids>
  <m:mathPr>
    <m:mathFont m:val="Cambria Math"/>
    <m:brkBin m:val="before"/>
    <m:brkBinSub m:val="--"/>
    <m:smallFrac m:val="0"/>
    <m:dispDef/>
    <m:lMargin m:val="0"/>
    <m:rMargin m:val="0"/>
    <m:defJc m:val="centerGroup"/>
    <m:wrapRight/>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68A498E6"/>
  <w15:docId w15:val="{03C64C45-4963-C34E-A2D4-BC8DF4422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color w:val="000000"/>
      <w:sz w:val="24"/>
    </w:rPr>
  </w:style>
  <w:style w:type="paragraph" w:styleId="1">
    <w:name w:val="heading 1"/>
    <w:next w:val="a"/>
    <w:link w:val="10"/>
    <w:uiPriority w:val="9"/>
    <w:qFormat/>
    <w:pPr>
      <w:spacing w:before="120" w:after="120"/>
      <w:jc w:val="both"/>
      <w:outlineLvl w:val="0"/>
    </w:pPr>
    <w:rPr>
      <w:rFonts w:ascii="XO Thames" w:hAnsi="XO Thames"/>
      <w:b/>
      <w:color w:val="000000"/>
      <w:sz w:val="32"/>
    </w:rPr>
  </w:style>
  <w:style w:type="paragraph" w:styleId="2">
    <w:name w:val="heading 2"/>
    <w:next w:val="a"/>
    <w:link w:val="20"/>
    <w:uiPriority w:val="9"/>
    <w:qFormat/>
    <w:pPr>
      <w:spacing w:before="120" w:after="120"/>
      <w:jc w:val="both"/>
      <w:outlineLvl w:val="1"/>
    </w:pPr>
    <w:rPr>
      <w:rFonts w:ascii="XO Thames" w:hAnsi="XO Thames"/>
      <w:b/>
      <w:color w:val="000000"/>
      <w:sz w:val="28"/>
    </w:rPr>
  </w:style>
  <w:style w:type="paragraph" w:styleId="3">
    <w:name w:val="heading 3"/>
    <w:basedOn w:val="a"/>
    <w:next w:val="a"/>
    <w:link w:val="30"/>
    <w:uiPriority w:val="9"/>
    <w:qFormat/>
    <w:pPr>
      <w:keepNext/>
      <w:tabs>
        <w:tab w:val="left" w:pos="312"/>
      </w:tabs>
      <w:spacing w:before="240" w:after="60"/>
      <w:ind w:left="142"/>
      <w:jc w:val="both"/>
      <w:outlineLvl w:val="2"/>
    </w:pPr>
    <w:rPr>
      <w:rFonts w:ascii="Arial" w:hAnsi="Arial"/>
      <w:b/>
    </w:rPr>
  </w:style>
  <w:style w:type="paragraph" w:styleId="4">
    <w:name w:val="heading 4"/>
    <w:next w:val="a"/>
    <w:link w:val="40"/>
    <w:uiPriority w:val="9"/>
    <w:qFormat/>
    <w:pPr>
      <w:spacing w:before="120" w:after="120"/>
      <w:jc w:val="both"/>
      <w:outlineLvl w:val="3"/>
    </w:pPr>
    <w:rPr>
      <w:rFonts w:ascii="XO Thames" w:hAnsi="XO Thames"/>
      <w:b/>
      <w:color w:val="000000"/>
      <w:sz w:val="24"/>
    </w:rPr>
  </w:style>
  <w:style w:type="paragraph" w:styleId="5">
    <w:name w:val="heading 5"/>
    <w:next w:val="a"/>
    <w:link w:val="50"/>
    <w:uiPriority w:val="9"/>
    <w:qFormat/>
    <w:pPr>
      <w:spacing w:before="120" w:after="120"/>
      <w:jc w:val="both"/>
      <w:outlineLvl w:val="4"/>
    </w:pPr>
    <w:rPr>
      <w:rFonts w:ascii="XO Thames" w:hAnsi="XO Thames"/>
      <w:b/>
      <w:color w:val="000000"/>
      <w:sz w:val="22"/>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uiPriority w:val="9"/>
    <w:rPr>
      <w:rFonts w:ascii="Arial" w:eastAsia="Arial" w:hAnsi="Arial" w:cs="Arial"/>
      <w:sz w:val="40"/>
      <w:szCs w:val="40"/>
    </w:rPr>
  </w:style>
  <w:style w:type="character" w:customStyle="1" w:styleId="Heading2Char">
    <w:name w:val="Heading 2 Char"/>
    <w:uiPriority w:val="9"/>
    <w:rPr>
      <w:rFonts w:ascii="Arial" w:eastAsia="Arial" w:hAnsi="Arial" w:cs="Arial"/>
      <w:sz w:val="34"/>
    </w:rPr>
  </w:style>
  <w:style w:type="character" w:customStyle="1" w:styleId="Heading3Char">
    <w:name w:val="Heading 3 Char"/>
    <w:uiPriority w:val="9"/>
    <w:rPr>
      <w:rFonts w:ascii="Arial" w:eastAsia="Arial" w:hAnsi="Arial" w:cs="Arial"/>
      <w:sz w:val="30"/>
      <w:szCs w:val="30"/>
    </w:rPr>
  </w:style>
  <w:style w:type="character" w:customStyle="1" w:styleId="Heading4Char">
    <w:name w:val="Heading 4 Char"/>
    <w:uiPriority w:val="9"/>
    <w:rPr>
      <w:rFonts w:ascii="Arial" w:eastAsia="Arial" w:hAnsi="Arial" w:cs="Arial"/>
      <w:b/>
      <w:bCs/>
      <w:sz w:val="26"/>
      <w:szCs w:val="26"/>
    </w:rPr>
  </w:style>
  <w:style w:type="character" w:customStyle="1" w:styleId="Heading5Char">
    <w:name w:val="Heading 5 Char"/>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No Spacing"/>
    <w:uiPriority w:val="1"/>
    <w:qFormat/>
    <w:rPr>
      <w:color w:val="000000"/>
    </w:rPr>
  </w:style>
  <w:style w:type="character" w:customStyle="1" w:styleId="TitleChar">
    <w:name w:val="Title Char"/>
    <w:uiPriority w:val="10"/>
    <w:rPr>
      <w:sz w:val="48"/>
      <w:szCs w:val="48"/>
    </w:rPr>
  </w:style>
  <w:style w:type="character" w:customStyle="1" w:styleId="SubtitleChar">
    <w:name w:val="Subtitle Char"/>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4">
    <w:name w:val="Intense Quote"/>
    <w:basedOn w:val="a"/>
    <w:next w:val="a"/>
    <w:link w:val="a5"/>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5">
    <w:name w:val="Выделенная цитата Знак"/>
    <w:link w:val="a4"/>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6">
    <w:name w:val="caption"/>
    <w:basedOn w:val="a"/>
    <w:next w:val="a"/>
    <w:link w:val="a7"/>
    <w:uiPriority w:val="35"/>
    <w:semiHidden/>
    <w:unhideWhenUsed/>
    <w:qFormat/>
    <w:pPr>
      <w:spacing w:line="276" w:lineRule="auto"/>
    </w:pPr>
    <w:rPr>
      <w:b/>
      <w:bCs/>
      <w:color w:val="5B9BD5"/>
      <w:sz w:val="18"/>
      <w:szCs w:val="18"/>
    </w:rPr>
  </w:style>
  <w:style w:type="character" w:customStyle="1" w:styleId="a7">
    <w:name w:val="Название объекта Знак"/>
    <w:link w:val="a6"/>
    <w:uiPriority w:val="35"/>
    <w:rPr>
      <w:b/>
      <w:bCs/>
      <w:color w:val="5B9BD5"/>
      <w:sz w:val="18"/>
      <w:szCs w:val="18"/>
    </w:rPr>
  </w:style>
  <w:style w:type="table" w:customStyle="1" w:styleId="TableGridLight">
    <w:name w:val="Table Grid Light"/>
    <w:basedOn w:val="a1"/>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styleId="11">
    <w:name w:val="Plain Table 1"/>
    <w:basedOn w:val="a1"/>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styleId="23">
    <w:name w:val="Plain Table 2"/>
    <w:basedOn w:val="a1"/>
    <w:uiPriority w:val="59"/>
    <w:tblPr>
      <w:tblBorders>
        <w:top w:val="single" w:sz="4" w:space="0" w:color="000000"/>
        <w:left w:val="none" w:sz="0" w:space="0" w:color="000000"/>
        <w:bottom w:val="single" w:sz="4" w:space="0" w:color="000000"/>
        <w:right w:val="none" w:sz="0"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0" w:space="0" w:color="000000"/>
          <w:left w:val="none" w:sz="0" w:space="0" w:color="000000"/>
          <w:bottom w:val="single" w:sz="4" w:space="0" w:color="404040"/>
          <w:right w:val="none" w:sz="0" w:space="0" w:color="000000"/>
        </w:tcBorders>
      </w:tcPr>
    </w:tblStylePr>
    <w:tblStylePr w:type="lastRow">
      <w:rPr>
        <w:b/>
        <w:caps/>
        <w:color w:val="404040"/>
      </w:rPr>
    </w:tblStylePr>
    <w:tblStylePr w:type="firstCol">
      <w:rPr>
        <w:b/>
        <w:caps/>
        <w:color w:val="404040"/>
      </w:rPr>
      <w:tblPr/>
      <w:tcPr>
        <w:tcBorders>
          <w:top w:val="none" w:sz="0" w:space="0" w:color="000000"/>
          <w:left w:val="none" w:sz="0" w:space="0" w:color="000000"/>
          <w:bottom w:val="none" w:sz="0"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0" w:space="0" w:color="000000"/>
          <w:bottom w:val="single" w:sz="4" w:space="0" w:color="404040"/>
          <w:right w:val="none" w:sz="0" w:space="0" w:color="000000"/>
        </w:tcBorders>
        <w:shd w:val="clear" w:color="FFFFFF" w:fill="auto"/>
      </w:tcPr>
    </w:tblStylePr>
    <w:tblStylePr w:type="lastRow">
      <w:rPr>
        <w:i/>
        <w:color w:val="404040"/>
      </w:rPr>
      <w:tblPr/>
      <w:tcPr>
        <w:tcBorders>
          <w:top w:val="single" w:sz="4" w:space="0" w:color="404040"/>
          <w:left w:val="none" w:sz="0" w:space="0" w:color="000000"/>
          <w:right w:val="none" w:sz="0"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1">
    <w:name w:val="Grid Table 1 Light"/>
    <w:basedOn w:val="a1"/>
    <w:uiPriority w:val="99"/>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b/>
        <w:color w:val="404040"/>
      </w:rPr>
      <w:tblPr/>
      <w:tcPr>
        <w:tcBorders>
          <w:bottom w:val="single" w:sz="12" w:space="0" w:color="9EC4E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b/>
        <w:color w:val="404040"/>
      </w:rPr>
      <w:tblPr/>
      <w:tcPr>
        <w:tcBorders>
          <w:bottom w:val="single" w:sz="12" w:space="0" w:color="F4B28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b/>
        <w:color w:val="404040"/>
      </w:rPr>
      <w:tblPr/>
      <w:tcPr>
        <w:tcBorders>
          <w:bottom w:val="single" w:sz="12" w:space="0" w:color="CACAC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b/>
        <w:color w:val="404040"/>
      </w:rPr>
      <w:tblPr/>
      <w:tcPr>
        <w:tcBorders>
          <w:bottom w:val="single" w:sz="12" w:space="0" w:color="FFD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b/>
        <w:color w:val="404040"/>
      </w:rPr>
      <w:tblPr/>
      <w:tcPr>
        <w:tcBorders>
          <w:bottom w:val="single" w:sz="12" w:space="0" w:color="91ACDC"/>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b/>
        <w:color w:val="404040"/>
      </w:rPr>
      <w:tblPr/>
      <w:tcPr>
        <w:tcBorders>
          <w:bottom w:val="single" w:sz="12" w:space="0" w:color="AAD19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table" w:styleId="-2">
    <w:name w:val="Grid Table 2"/>
    <w:basedOn w:val="a1"/>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0" w:space="0" w:color="000000"/>
          <w:left w:val="none" w:sz="0" w:space="0" w:color="000000"/>
          <w:bottom w:val="single" w:sz="12" w:space="0" w:color="6A6A6A"/>
          <w:right w:val="none" w:sz="0" w:space="0" w:color="000000"/>
        </w:tcBorders>
        <w:shd w:val="clear" w:color="FFFFFF" w:fill="auto"/>
      </w:tcPr>
    </w:tblStylePr>
    <w:tblStylePr w:type="lastRow">
      <w:rPr>
        <w:b/>
        <w:color w:val="404040"/>
      </w:rPr>
      <w:tblPr/>
      <w:tcPr>
        <w:tcBorders>
          <w:top w:val="single" w:sz="4" w:space="0" w:color="6A6A6A"/>
          <w:left w:val="none" w:sz="0" w:space="0" w:color="000000"/>
          <w:bottom w:val="none" w:sz="0" w:space="0" w:color="000000"/>
          <w:right w:val="none" w:sz="0"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
    <w:name w:val="Grid Table 2 - Accent 1"/>
    <w:basedOn w:val="a1"/>
    <w:uiPriority w:val="99"/>
    <w:tblPr>
      <w:tblStyleRowBandSize w:val="1"/>
      <w:tblStyleColBandSize w:val="1"/>
      <w:tblBorders>
        <w:bottom w:val="single" w:sz="4" w:space="0" w:color="68A2D8"/>
        <w:insideH w:val="single" w:sz="4" w:space="0" w:color="68A2D8"/>
        <w:insideV w:val="single" w:sz="4" w:space="0" w:color="68A2D8"/>
      </w:tblBorders>
    </w:tblPr>
    <w:tblStylePr w:type="firstRow">
      <w:rPr>
        <w:b/>
        <w:color w:val="404040"/>
      </w:rPr>
      <w:tblPr/>
      <w:tcPr>
        <w:tcBorders>
          <w:top w:val="none" w:sz="0" w:space="0" w:color="000000"/>
          <w:left w:val="none" w:sz="0" w:space="0" w:color="000000"/>
          <w:bottom w:val="single" w:sz="12" w:space="0" w:color="68A2D8"/>
          <w:right w:val="none" w:sz="0" w:space="0" w:color="000000"/>
        </w:tcBorders>
        <w:shd w:val="clear" w:color="FFFFFF" w:fill="auto"/>
      </w:tcPr>
    </w:tblStylePr>
    <w:tblStylePr w:type="lastRow">
      <w:rPr>
        <w:b/>
        <w:color w:val="404040"/>
      </w:rPr>
      <w:tblPr/>
      <w:tcPr>
        <w:tcBorders>
          <w:top w:val="single" w:sz="4" w:space="0" w:color="68A2D8"/>
          <w:left w:val="none" w:sz="0" w:space="0" w:color="000000"/>
          <w:bottom w:val="none" w:sz="0" w:space="0" w:color="000000"/>
          <w:right w:val="none" w:sz="0"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customStyle="1" w:styleId="GridTable2-Accent2">
    <w:name w:val="Grid Table 2 - Accent 2"/>
    <w:basedOn w:val="a1"/>
    <w:uiPriority w:val="99"/>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0" w:space="0" w:color="000000"/>
          <w:left w:val="none" w:sz="0" w:space="0" w:color="000000"/>
          <w:bottom w:val="single" w:sz="12" w:space="0" w:color="F4B184"/>
          <w:right w:val="none" w:sz="0" w:space="0" w:color="000000"/>
        </w:tcBorders>
        <w:shd w:val="clear" w:color="FFFFFF" w:fill="auto"/>
      </w:tcPr>
    </w:tblStylePr>
    <w:tblStylePr w:type="lastRow">
      <w:rPr>
        <w:b/>
        <w:color w:val="404040"/>
      </w:rPr>
      <w:tblPr/>
      <w:tcPr>
        <w:tcBorders>
          <w:top w:val="single" w:sz="4" w:space="0" w:color="F4B184"/>
          <w:left w:val="none" w:sz="0" w:space="0" w:color="000000"/>
          <w:bottom w:val="none" w:sz="0" w:space="0" w:color="000000"/>
          <w:right w:val="none" w:sz="0"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2-Accent3">
    <w:name w:val="Grid Table 2 - Accent 3"/>
    <w:basedOn w:val="a1"/>
    <w:uiPriority w:val="99"/>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0" w:space="0" w:color="000000"/>
          <w:left w:val="none" w:sz="0" w:space="0" w:color="000000"/>
          <w:bottom w:val="single" w:sz="12" w:space="0" w:color="A5A5A5"/>
          <w:right w:val="none" w:sz="0" w:space="0" w:color="000000"/>
        </w:tcBorders>
        <w:shd w:val="clear" w:color="FFFFFF" w:fill="auto"/>
      </w:tcPr>
    </w:tblStylePr>
    <w:tblStylePr w:type="lastRow">
      <w:rPr>
        <w:b/>
        <w:color w:val="404040"/>
      </w:rPr>
      <w:tblPr/>
      <w:tcPr>
        <w:tcBorders>
          <w:top w:val="single" w:sz="4" w:space="0" w:color="A5A5A5"/>
          <w:left w:val="none" w:sz="0" w:space="0" w:color="000000"/>
          <w:bottom w:val="none" w:sz="0" w:space="0" w:color="000000"/>
          <w:right w:val="none" w:sz="0"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2-Accent4">
    <w:name w:val="Grid Table 2 - Accent 4"/>
    <w:basedOn w:val="a1"/>
    <w:uiPriority w:val="99"/>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0" w:space="0" w:color="000000"/>
          <w:left w:val="none" w:sz="0" w:space="0" w:color="000000"/>
          <w:bottom w:val="single" w:sz="12" w:space="0" w:color="FFD865"/>
          <w:right w:val="none" w:sz="0" w:space="0" w:color="000000"/>
        </w:tcBorders>
        <w:shd w:val="clear" w:color="FFFFFF" w:fill="auto"/>
      </w:tcPr>
    </w:tblStylePr>
    <w:tblStylePr w:type="lastRow">
      <w:rPr>
        <w:b/>
        <w:color w:val="404040"/>
      </w:rPr>
      <w:tblPr/>
      <w:tcPr>
        <w:tcBorders>
          <w:top w:val="single" w:sz="4" w:space="0" w:color="FFD865"/>
          <w:left w:val="none" w:sz="0" w:space="0" w:color="000000"/>
          <w:bottom w:val="none" w:sz="0" w:space="0" w:color="000000"/>
          <w:right w:val="none" w:sz="0"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2-Accent5">
    <w:name w:val="Grid Table 2 - Accent 5"/>
    <w:basedOn w:val="a1"/>
    <w:uiPriority w:val="99"/>
    <w:tblPr>
      <w:tblStyleRowBandSize w:val="1"/>
      <w:tblStyleColBandSize w:val="1"/>
      <w:tblBorders>
        <w:bottom w:val="single" w:sz="4" w:space="0" w:color="4472C4"/>
        <w:insideH w:val="single" w:sz="4" w:space="0" w:color="4472C4"/>
        <w:insideV w:val="single" w:sz="4" w:space="0" w:color="4472C4"/>
      </w:tblBorders>
    </w:tblPr>
    <w:tblStylePr w:type="firstRow">
      <w:rPr>
        <w:b/>
        <w:color w:val="404040"/>
      </w:rPr>
      <w:tblPr/>
      <w:tcPr>
        <w:tcBorders>
          <w:top w:val="none" w:sz="0" w:space="0" w:color="000000"/>
          <w:left w:val="none" w:sz="0" w:space="0" w:color="000000"/>
          <w:bottom w:val="single" w:sz="12" w:space="0" w:color="4472C4"/>
          <w:right w:val="none" w:sz="0" w:space="0" w:color="000000"/>
        </w:tcBorders>
        <w:shd w:val="clear" w:color="FFFFFF" w:fill="auto"/>
      </w:tcPr>
    </w:tblStylePr>
    <w:tblStylePr w:type="lastRow">
      <w:rPr>
        <w:b/>
        <w:color w:val="404040"/>
      </w:rPr>
      <w:tblPr/>
      <w:tcPr>
        <w:tcBorders>
          <w:top w:val="single" w:sz="4" w:space="0" w:color="4472C4"/>
          <w:left w:val="none" w:sz="0" w:space="0" w:color="000000"/>
          <w:bottom w:val="none" w:sz="0" w:space="0" w:color="000000"/>
          <w:right w:val="none" w:sz="0"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2-Accent6">
    <w:name w:val="Grid Table 2 - Accent 6"/>
    <w:basedOn w:val="a1"/>
    <w:uiPriority w:val="99"/>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0" w:space="0" w:color="000000"/>
          <w:left w:val="none" w:sz="0" w:space="0" w:color="000000"/>
          <w:bottom w:val="single" w:sz="12" w:space="0" w:color="70AD47"/>
          <w:right w:val="none" w:sz="0" w:space="0" w:color="000000"/>
        </w:tcBorders>
        <w:shd w:val="clear" w:color="FFFFFF" w:fill="auto"/>
      </w:tcPr>
    </w:tblStylePr>
    <w:tblStylePr w:type="lastRow">
      <w:rPr>
        <w:b/>
        <w:color w:val="404040"/>
      </w:rPr>
      <w:tblPr/>
      <w:tcPr>
        <w:tcBorders>
          <w:top w:val="single" w:sz="4" w:space="0" w:color="70AD47"/>
          <w:left w:val="none" w:sz="0" w:space="0" w:color="000000"/>
          <w:bottom w:val="none" w:sz="0" w:space="0" w:color="000000"/>
          <w:right w:val="none" w:sz="0"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3">
    <w:name w:val="Grid Table 3"/>
    <w:basedOn w:val="a1"/>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lastRow">
      <w:rPr>
        <w:b/>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firstCol">
      <w:pPr>
        <w:jc w:val="right"/>
      </w:pPr>
      <w:rPr>
        <w:i/>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lastCol">
      <w:rPr>
        <w:i/>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
    <w:name w:val="Grid Table 3 - Accent 1"/>
    <w:basedOn w:val="a1"/>
    <w:uiPriority w:val="99"/>
    <w:tblPr>
      <w:tblStyleRowBandSize w:val="1"/>
      <w:tblStyleColBandSize w:val="1"/>
      <w:tblBorders>
        <w:bottom w:val="single" w:sz="4" w:space="0" w:color="68A2D8"/>
        <w:insideH w:val="single" w:sz="4" w:space="0" w:color="68A2D8"/>
        <w:insideV w:val="single" w:sz="4" w:space="0" w:color="68A2D8"/>
      </w:tblBorders>
    </w:tblPr>
    <w:tblStylePr w:type="firstRow">
      <w:rPr>
        <w:b/>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lastRow">
      <w:rPr>
        <w:b/>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firstCol">
      <w:pPr>
        <w:jc w:val="right"/>
      </w:pPr>
      <w:rPr>
        <w:i/>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lastCol">
      <w:rPr>
        <w:i/>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customStyle="1" w:styleId="GridTable3-Accent2">
    <w:name w:val="Grid Table 3 - Accent 2"/>
    <w:basedOn w:val="a1"/>
    <w:uiPriority w:val="99"/>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lastRow">
      <w:rPr>
        <w:b/>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firstCol">
      <w:pPr>
        <w:jc w:val="right"/>
      </w:pPr>
      <w:rPr>
        <w:i/>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lastCol">
      <w:rPr>
        <w:i/>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3-Accent3">
    <w:name w:val="Grid Table 3 - Accent 3"/>
    <w:basedOn w:val="a1"/>
    <w:uiPriority w:val="99"/>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lastRow">
      <w:rPr>
        <w:b/>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firstCol">
      <w:pPr>
        <w:jc w:val="right"/>
      </w:pPr>
      <w:rPr>
        <w:i/>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lastCol">
      <w:rPr>
        <w:i/>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3-Accent4">
    <w:name w:val="Grid Table 3 - Accent 4"/>
    <w:basedOn w:val="a1"/>
    <w:uiPriority w:val="99"/>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lastRow">
      <w:rPr>
        <w:b/>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firstCol">
      <w:pPr>
        <w:jc w:val="right"/>
      </w:pPr>
      <w:rPr>
        <w:i/>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lastCol">
      <w:rPr>
        <w:i/>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3-Accent5">
    <w:name w:val="Grid Table 3 - Accent 5"/>
    <w:basedOn w:val="a1"/>
    <w:uiPriority w:val="99"/>
    <w:tblPr>
      <w:tblStyleRowBandSize w:val="1"/>
      <w:tblStyleColBandSize w:val="1"/>
      <w:tblBorders>
        <w:bottom w:val="single" w:sz="4" w:space="0" w:color="4472C4"/>
        <w:insideH w:val="single" w:sz="4" w:space="0" w:color="4472C4"/>
        <w:insideV w:val="single" w:sz="4" w:space="0" w:color="4472C4"/>
      </w:tblBorders>
    </w:tblPr>
    <w:tblStylePr w:type="firstRow">
      <w:rPr>
        <w:b/>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lastRow">
      <w:rPr>
        <w:b/>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firstCol">
      <w:pPr>
        <w:jc w:val="right"/>
      </w:pPr>
      <w:rPr>
        <w:i/>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lastCol">
      <w:rPr>
        <w:i/>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3-Accent6">
    <w:name w:val="Grid Table 3 - Accent 6"/>
    <w:basedOn w:val="a1"/>
    <w:uiPriority w:val="99"/>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lastRow">
      <w:rPr>
        <w:b/>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firstCol">
      <w:pPr>
        <w:jc w:val="right"/>
      </w:pPr>
      <w:rPr>
        <w:i/>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lastCol">
      <w:rPr>
        <w:i/>
        <w:color w:val="404040"/>
      </w:rPr>
      <w:tblPr/>
      <w:tcPr>
        <w:tcBorders>
          <w:top w:val="none" w:sz="0" w:space="0" w:color="000000"/>
          <w:left w:val="none" w:sz="0" w:space="0" w:color="000000"/>
          <w:bottom w:val="none" w:sz="0" w:space="0" w:color="000000"/>
          <w:right w:val="none" w:sz="0" w:space="0" w:color="000000"/>
        </w:tcBorders>
        <w:shd w:val="clear" w:color="FFFFFF" w:fill="auto"/>
      </w:tc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4">
    <w:name w:val="Grid Table 4"/>
    <w:basedOn w:val="a1"/>
    <w:uiPriority w:val="59"/>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
    <w:name w:val="Grid Table 4 - Accent 1"/>
    <w:basedOn w:val="a1"/>
    <w:uiPriority w:val="59"/>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insideV w:val="single" w:sz="4" w:space="0" w:color="A2C6E7"/>
      </w:tblBorders>
    </w:tblPr>
    <w:tblStylePr w:type="firstRow">
      <w:rPr>
        <w:rFonts w:ascii="Arial" w:hAnsi="Arial"/>
        <w:b/>
        <w:color w:val="FFFFFF"/>
        <w:sz w:val="22"/>
      </w:rPr>
      <w:tblPr/>
      <w:tcPr>
        <w:tcBorders>
          <w:top w:val="single" w:sz="4" w:space="0" w:color="68A2D8"/>
          <w:left w:val="single" w:sz="4" w:space="0" w:color="68A2D8"/>
          <w:bottom w:val="single" w:sz="4" w:space="0" w:color="68A2D8"/>
          <w:right w:val="single" w:sz="4" w:space="0" w:color="68A2D8"/>
        </w:tcBorders>
        <w:shd w:val="clear" w:color="68A2D8" w:fill="68A2D8"/>
      </w:tcPr>
    </w:tblStylePr>
    <w:tblStylePr w:type="lastRow">
      <w:rPr>
        <w:b/>
        <w:color w:val="404040"/>
      </w:rPr>
      <w:tblPr/>
      <w:tcPr>
        <w:tcBorders>
          <w:top w:val="single" w:sz="4" w:space="0" w:color="68A2D8"/>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fill="DEEBF6"/>
      </w:tcPr>
    </w:tblStylePr>
    <w:tblStylePr w:type="band1Horz">
      <w:rPr>
        <w:rFonts w:ascii="Arial" w:hAnsi="Arial"/>
        <w:color w:val="404040"/>
        <w:sz w:val="22"/>
      </w:rPr>
      <w:tblPr/>
      <w:tcPr>
        <w:shd w:val="clear" w:color="DEEBF6" w:fill="DEEBF6"/>
      </w:tcPr>
    </w:tblStylePr>
  </w:style>
  <w:style w:type="table" w:customStyle="1" w:styleId="GridTable4-Accent2">
    <w:name w:val="Grid Table 4 - Accent 2"/>
    <w:basedOn w:val="a1"/>
    <w:uiPriority w:val="59"/>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insideV w:val="single" w:sz="4" w:space="0" w:color="F4B58A"/>
      </w:tblBorders>
    </w:tblPr>
    <w:tblStylePr w:type="firstRow">
      <w:rPr>
        <w:rFonts w:ascii="Arial" w:hAnsi="Arial"/>
        <w:b/>
        <w:color w:val="FFFFFF"/>
        <w:sz w:val="22"/>
      </w:rPr>
      <w:tblPr/>
      <w:tcPr>
        <w:tcBorders>
          <w:top w:val="single" w:sz="4" w:space="0" w:color="F4B184"/>
          <w:left w:val="single" w:sz="4" w:space="0" w:color="F4B184"/>
          <w:bottom w:val="single" w:sz="4" w:space="0" w:color="F4B184"/>
          <w:right w:val="single" w:sz="4" w:space="0" w:color="F4B184"/>
        </w:tcBorders>
        <w:shd w:val="clear" w:color="F4B184" w:fill="F4B184"/>
      </w:tcPr>
    </w:tblStylePr>
    <w:tblStylePr w:type="lastRow">
      <w:rPr>
        <w:b/>
        <w:color w:val="404040"/>
      </w:rPr>
      <w:tblPr/>
      <w:tcPr>
        <w:tcBorders>
          <w:top w:val="single" w:sz="4" w:space="0" w:color="F4B184"/>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4-Accent3">
    <w:name w:val="Grid Table 4 - Accent 3"/>
    <w:basedOn w:val="a1"/>
    <w:uiPriority w:val="59"/>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StylePr w:type="firstRow">
      <w:rPr>
        <w:rFonts w:ascii="Arial" w:hAnsi="Arial"/>
        <w:b/>
        <w:color w:val="FFFFFF"/>
        <w:sz w:val="22"/>
      </w:rPr>
      <w:tblPr/>
      <w:tcPr>
        <w:tcBorders>
          <w:top w:val="single" w:sz="4" w:space="0" w:color="A5A5A5"/>
          <w:left w:val="single" w:sz="4" w:space="0" w:color="A5A5A5"/>
          <w:bottom w:val="single" w:sz="4" w:space="0" w:color="A5A5A5"/>
          <w:right w:val="single" w:sz="4" w:space="0" w:color="A5A5A5"/>
        </w:tcBorders>
        <w:shd w:val="clear" w:color="A5A5A5" w:fill="A5A5A5"/>
      </w:tcPr>
    </w:tblStylePr>
    <w:tblStylePr w:type="lastRow">
      <w:rPr>
        <w:b/>
        <w:color w:val="404040"/>
      </w:rPr>
      <w:tblPr/>
      <w:tcPr>
        <w:tcBorders>
          <w:top w:val="single" w:sz="4" w:space="0" w:color="A5A5A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4-Accent4">
    <w:name w:val="Grid Table 4 - Accent 4"/>
    <w:basedOn w:val="a1"/>
    <w:uiPriority w:val="59"/>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insideV w:val="single" w:sz="4" w:space="0" w:color="FFDB6F"/>
      </w:tblBorders>
    </w:tblPr>
    <w:tblStylePr w:type="firstRow">
      <w:rPr>
        <w:rFonts w:ascii="Arial" w:hAnsi="Arial"/>
        <w:b/>
        <w:color w:val="FFFFFF"/>
        <w:sz w:val="22"/>
      </w:rPr>
      <w:tblPr/>
      <w:tcPr>
        <w:tcBorders>
          <w:top w:val="single" w:sz="4" w:space="0" w:color="FFD865"/>
          <w:left w:val="single" w:sz="4" w:space="0" w:color="FFD865"/>
          <w:bottom w:val="single" w:sz="4" w:space="0" w:color="FFD865"/>
          <w:right w:val="single" w:sz="4" w:space="0" w:color="FFD865"/>
        </w:tcBorders>
        <w:shd w:val="clear" w:color="FFD865" w:fill="FFD865"/>
      </w:tcPr>
    </w:tblStylePr>
    <w:tblStylePr w:type="lastRow">
      <w:rPr>
        <w:b/>
        <w:color w:val="404040"/>
      </w:rPr>
      <w:tblPr/>
      <w:tcPr>
        <w:tcBorders>
          <w:top w:val="single" w:sz="4" w:space="0" w:color="FFD86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4-Accent5">
    <w:name w:val="Grid Table 4 - Accent 5"/>
    <w:basedOn w:val="a1"/>
    <w:uiPriority w:val="59"/>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insideV w:val="single" w:sz="4" w:space="0" w:color="95AFDD"/>
      </w:tblBorders>
    </w:tblPr>
    <w:tblStylePr w:type="firstRow">
      <w:rPr>
        <w:rFonts w:ascii="Arial" w:hAnsi="Arial"/>
        <w:b/>
        <w:color w:val="FFFFFF"/>
        <w:sz w:val="22"/>
      </w:rPr>
      <w:tblPr/>
      <w:tcPr>
        <w:tcBorders>
          <w:top w:val="single" w:sz="4" w:space="0" w:color="4472C4"/>
          <w:left w:val="single" w:sz="4" w:space="0" w:color="4472C4"/>
          <w:bottom w:val="single" w:sz="4" w:space="0" w:color="4472C4"/>
          <w:right w:val="single" w:sz="4" w:space="0" w:color="4472C4"/>
        </w:tcBorders>
        <w:shd w:val="clear" w:color="4472C4" w:fill="4472C4"/>
      </w:tcPr>
    </w:tblStylePr>
    <w:tblStylePr w:type="lastRow">
      <w:rPr>
        <w:b/>
        <w:color w:val="404040"/>
      </w:rPr>
      <w:tblPr/>
      <w:tcPr>
        <w:tcBorders>
          <w:top w:val="single" w:sz="4" w:space="0" w:color="4472C4"/>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4-Accent6">
    <w:name w:val="Grid Table 4 - Accent 6"/>
    <w:basedOn w:val="a1"/>
    <w:uiPriority w:val="59"/>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insideV w:val="single" w:sz="4" w:space="0" w:color="ADD394"/>
      </w:tblBorders>
    </w:tblPr>
    <w:tblStylePr w:type="firstRow">
      <w:rPr>
        <w:rFonts w:ascii="Arial" w:hAnsi="Arial"/>
        <w:b/>
        <w:color w:val="FFFFFF"/>
        <w:sz w:val="22"/>
      </w:rPr>
      <w:tblPr/>
      <w:tcPr>
        <w:tcBorders>
          <w:top w:val="single" w:sz="4" w:space="0" w:color="70AD47"/>
          <w:left w:val="single" w:sz="4" w:space="0" w:color="70AD47"/>
          <w:bottom w:val="single" w:sz="4" w:space="0" w:color="70AD47"/>
          <w:right w:val="single" w:sz="4" w:space="0" w:color="70AD47"/>
        </w:tcBorders>
        <w:shd w:val="clear" w:color="70AD47" w:fill="70AD47"/>
      </w:tcPr>
    </w:tblStylePr>
    <w:tblStylePr w:type="lastRow">
      <w:rPr>
        <w:b/>
        <w:color w:val="404040"/>
      </w:rPr>
      <w:tblPr/>
      <w:tcPr>
        <w:tcBorders>
          <w:top w:val="single" w:sz="4" w:space="0" w:color="70AD4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5">
    <w:name w:val="Grid Table 5 Dark"/>
    <w:basedOn w:val="a1"/>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a1"/>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DEAF6" w:fill="DDEAF6"/>
    </w:tblPr>
    <w:tblStylePr w:type="firstRow">
      <w:rPr>
        <w:rFonts w:ascii="Arial" w:hAnsi="Arial"/>
        <w:b/>
        <w:color w:val="FFFFFF"/>
        <w:sz w:val="22"/>
      </w:rPr>
      <w:tblPr/>
      <w:tcPr>
        <w:shd w:val="clear" w:color="5B9BD5" w:fill="5B9BD5"/>
      </w:tcPr>
    </w:tblStylePr>
    <w:tblStylePr w:type="lastRow">
      <w:rPr>
        <w:rFonts w:ascii="Arial" w:hAnsi="Arial"/>
        <w:b/>
        <w:color w:val="FFFFFF"/>
        <w:sz w:val="22"/>
      </w:rPr>
      <w:tblPr/>
      <w:tcPr>
        <w:tcBorders>
          <w:top w:val="single" w:sz="4" w:space="0" w:color="FFFFFF"/>
        </w:tcBorders>
        <w:shd w:val="clear" w:color="5B9BD5" w:fill="5B9BD5"/>
      </w:tcPr>
    </w:tblStylePr>
    <w:tblStylePr w:type="firstCol">
      <w:rPr>
        <w:rFonts w:ascii="Arial" w:hAnsi="Arial"/>
        <w:b/>
        <w:color w:val="FFFFFF"/>
        <w:sz w:val="22"/>
      </w:rPr>
      <w:tblPr/>
      <w:tcPr>
        <w:shd w:val="clear" w:color="5B9BD5" w:fill="5B9BD5"/>
      </w:tcPr>
    </w:tblStylePr>
    <w:tblStylePr w:type="lastCol">
      <w:rPr>
        <w:rFonts w:ascii="Arial" w:hAnsi="Arial"/>
        <w:b/>
        <w:color w:val="FFFFFF"/>
        <w:sz w:val="22"/>
      </w:rPr>
      <w:tblPr/>
      <w:tcPr>
        <w:shd w:val="clear" w:color="5B9BD5" w:fill="5B9BD5"/>
      </w:tcPr>
    </w:tblStylePr>
    <w:tblStylePr w:type="band1Vert">
      <w:tblPr/>
      <w:tcPr>
        <w:shd w:val="clear" w:color="B3D0EB" w:fill="B3D0EB"/>
      </w:tcPr>
    </w:tblStylePr>
    <w:tblStylePr w:type="band1Horz">
      <w:tblPr/>
      <w:tcPr>
        <w:shd w:val="clear" w:color="B3D0EB" w:fill="B3D0EB"/>
      </w:tcPr>
    </w:tblStylePr>
  </w:style>
  <w:style w:type="table" w:customStyle="1" w:styleId="GridTable5Dark-Accent2">
    <w:name w:val="Grid Table 5 Dark - Accent 2"/>
    <w:basedOn w:val="a1"/>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BE5D6" w:fill="FBE5D6"/>
    </w:tblPr>
    <w:tblStylePr w:type="firstRow">
      <w:rPr>
        <w:rFonts w:ascii="Arial" w:hAnsi="Arial"/>
        <w:b/>
        <w:color w:val="FFFFFF"/>
        <w:sz w:val="22"/>
      </w:rPr>
      <w:tblPr/>
      <w:tcPr>
        <w:shd w:val="clear" w:color="ED7D31" w:fill="ED7D31"/>
      </w:tcPr>
    </w:tblStylePr>
    <w:tblStylePr w:type="lastRow">
      <w:rPr>
        <w:rFonts w:ascii="Arial" w:hAnsi="Arial"/>
        <w:b/>
        <w:color w:val="FFFFFF"/>
        <w:sz w:val="22"/>
      </w:rPr>
      <w:tblPr/>
      <w:tcPr>
        <w:tcBorders>
          <w:top w:val="single" w:sz="4" w:space="0" w:color="FFFFFF"/>
        </w:tcBorders>
        <w:shd w:val="clear" w:color="ED7D31" w:fill="ED7D31"/>
      </w:tcPr>
    </w:tblStylePr>
    <w:tblStylePr w:type="firstCol">
      <w:rPr>
        <w:rFonts w:ascii="Arial" w:hAnsi="Arial"/>
        <w:b/>
        <w:color w:val="FFFFFF"/>
        <w:sz w:val="22"/>
      </w:rPr>
      <w:tblPr/>
      <w:tcPr>
        <w:shd w:val="clear" w:color="ED7D31" w:fill="ED7D31"/>
      </w:tcPr>
    </w:tblStylePr>
    <w:tblStylePr w:type="lastCol">
      <w:rPr>
        <w:rFonts w:ascii="Arial" w:hAnsi="Arial"/>
        <w:b/>
        <w:color w:val="FFFFFF"/>
        <w:sz w:val="22"/>
      </w:rPr>
      <w:tblPr/>
      <w:tcPr>
        <w:shd w:val="clear" w:color="ED7D31" w:fill="ED7D31"/>
      </w:tcPr>
    </w:tblStylePr>
    <w:tblStylePr w:type="band1Vert">
      <w:tblPr/>
      <w:tcPr>
        <w:shd w:val="clear" w:color="F6C3A0" w:fill="F6C3A0"/>
      </w:tcPr>
    </w:tblStylePr>
    <w:tblStylePr w:type="band1Horz">
      <w:tblPr/>
      <w:tcPr>
        <w:shd w:val="clear" w:color="F6C3A0" w:fill="F6C3A0"/>
      </w:tcPr>
    </w:tblStylePr>
  </w:style>
  <w:style w:type="table" w:customStyle="1" w:styleId="GridTable5Dark-Accent3">
    <w:name w:val="Grid Table 5 Dark - Accent 3"/>
    <w:basedOn w:val="a1"/>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CECEC" w:fill="ECECEC"/>
    </w:tblPr>
    <w:tblStylePr w:type="firstRow">
      <w:rPr>
        <w:rFonts w:ascii="Arial" w:hAnsi="Arial"/>
        <w:b/>
        <w:color w:val="FFFFFF"/>
        <w:sz w:val="22"/>
      </w:rPr>
      <w:tblPr/>
      <w:tcPr>
        <w:shd w:val="clear" w:color="A5A5A5" w:fill="A5A5A5"/>
      </w:tcPr>
    </w:tblStylePr>
    <w:tblStylePr w:type="lastRow">
      <w:rPr>
        <w:rFonts w:ascii="Arial" w:hAnsi="Arial"/>
        <w:b/>
        <w:color w:val="FFFFFF"/>
        <w:sz w:val="22"/>
      </w:rPr>
      <w:tblPr/>
      <w:tcPr>
        <w:tcBorders>
          <w:top w:val="single" w:sz="4" w:space="0" w:color="FFFFFF"/>
        </w:tcBorders>
        <w:shd w:val="clear" w:color="A5A5A5" w:fill="A5A5A5"/>
      </w:tcPr>
    </w:tblStylePr>
    <w:tblStylePr w:type="firstCol">
      <w:rPr>
        <w:rFonts w:ascii="Arial" w:hAnsi="Arial"/>
        <w:b/>
        <w:color w:val="FFFFFF"/>
        <w:sz w:val="22"/>
      </w:rPr>
      <w:tblPr/>
      <w:tcPr>
        <w:shd w:val="clear" w:color="A5A5A5" w:fill="A5A5A5"/>
      </w:tcPr>
    </w:tblStylePr>
    <w:tblStylePr w:type="lastCol">
      <w:rPr>
        <w:rFonts w:ascii="Arial" w:hAnsi="Arial"/>
        <w:b/>
        <w:color w:val="FFFFFF"/>
        <w:sz w:val="22"/>
      </w:rPr>
      <w:tblPr/>
      <w:tcPr>
        <w:shd w:val="clear" w:color="A5A5A5" w:fill="A5A5A5"/>
      </w:tcPr>
    </w:tblStylePr>
    <w:tblStylePr w:type="band1Vert">
      <w:tblPr/>
      <w:tcPr>
        <w:shd w:val="clear" w:color="D5D5D5" w:fill="D5D5D5"/>
      </w:tcPr>
    </w:tblStylePr>
    <w:tblStylePr w:type="band1Horz">
      <w:tblPr/>
      <w:tcPr>
        <w:shd w:val="clear" w:color="D5D5D5" w:fill="D5D5D5"/>
      </w:tcPr>
    </w:tblStylePr>
  </w:style>
  <w:style w:type="table" w:customStyle="1" w:styleId="GridTable5Dark-Accent4">
    <w:name w:val="Grid Table 5 Dark- Accent 4"/>
    <w:basedOn w:val="a1"/>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FF2CB" w:fill="FFF2CB"/>
    </w:tblPr>
    <w:tblStylePr w:type="firstRow">
      <w:rPr>
        <w:rFonts w:ascii="Arial" w:hAnsi="Arial"/>
        <w:b/>
        <w:color w:val="FFFFFF"/>
        <w:sz w:val="22"/>
      </w:rPr>
      <w:tblPr/>
      <w:tcPr>
        <w:shd w:val="clear" w:color="FFC000" w:fill="FFC000"/>
      </w:tcPr>
    </w:tblStylePr>
    <w:tblStylePr w:type="lastRow">
      <w:rPr>
        <w:rFonts w:ascii="Arial" w:hAnsi="Arial"/>
        <w:b/>
        <w:color w:val="FFFFFF"/>
        <w:sz w:val="22"/>
      </w:rPr>
      <w:tblPr/>
      <w:tcPr>
        <w:tcBorders>
          <w:top w:val="single" w:sz="4" w:space="0" w:color="FFFFFF"/>
        </w:tcBorders>
        <w:shd w:val="clear" w:color="FFC000" w:fill="FFC000"/>
      </w:tcPr>
    </w:tblStylePr>
    <w:tblStylePr w:type="firstCol">
      <w:rPr>
        <w:rFonts w:ascii="Arial" w:hAnsi="Arial"/>
        <w:b/>
        <w:color w:val="FFFFFF"/>
        <w:sz w:val="22"/>
      </w:rPr>
      <w:tblPr/>
      <w:tcPr>
        <w:shd w:val="clear" w:color="FFC000" w:fill="FFC000"/>
      </w:tcPr>
    </w:tblStylePr>
    <w:tblStylePr w:type="lastCol">
      <w:rPr>
        <w:rFonts w:ascii="Arial" w:hAnsi="Arial"/>
        <w:b/>
        <w:color w:val="FFFFFF"/>
        <w:sz w:val="22"/>
      </w:rPr>
      <w:tblPr/>
      <w:tcPr>
        <w:shd w:val="clear" w:color="FFC000" w:fill="FFC000"/>
      </w:tcPr>
    </w:tblStylePr>
    <w:tblStylePr w:type="band1Vert">
      <w:tblPr/>
      <w:tcPr>
        <w:shd w:val="clear" w:color="FFE28A" w:fill="FFE28A"/>
      </w:tcPr>
    </w:tblStylePr>
    <w:tblStylePr w:type="band1Horz">
      <w:tblPr/>
      <w:tcPr>
        <w:shd w:val="clear" w:color="FFE28A" w:fill="FFE28A"/>
      </w:tcPr>
    </w:tblStylePr>
  </w:style>
  <w:style w:type="table" w:customStyle="1" w:styleId="GridTable5Dark-Accent5">
    <w:name w:val="Grid Table 5 Dark - Accent 5"/>
    <w:basedOn w:val="a1"/>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8E2F3" w:fill="D8E2F3"/>
    </w:tblPr>
    <w:tblStylePr w:type="firstRow">
      <w:rPr>
        <w:rFonts w:ascii="Arial" w:hAnsi="Arial"/>
        <w:b/>
        <w:color w:val="FFFFFF"/>
        <w:sz w:val="22"/>
      </w:rPr>
      <w:tblPr/>
      <w:tcPr>
        <w:shd w:val="clear" w:color="4472C4" w:fill="4472C4"/>
      </w:tcPr>
    </w:tblStylePr>
    <w:tblStylePr w:type="lastRow">
      <w:rPr>
        <w:rFonts w:ascii="Arial" w:hAnsi="Arial"/>
        <w:b/>
        <w:color w:val="FFFFFF"/>
        <w:sz w:val="22"/>
      </w:rPr>
      <w:tblPr/>
      <w:tcPr>
        <w:tcBorders>
          <w:top w:val="single" w:sz="4" w:space="0" w:color="FFFFFF"/>
        </w:tcBorders>
        <w:shd w:val="clear" w:color="4472C4" w:fill="4472C4"/>
      </w:tcPr>
    </w:tblStylePr>
    <w:tblStylePr w:type="firstCol">
      <w:rPr>
        <w:rFonts w:ascii="Arial" w:hAnsi="Arial"/>
        <w:b/>
        <w:color w:val="FFFFFF"/>
        <w:sz w:val="22"/>
      </w:rPr>
      <w:tblPr/>
      <w:tcPr>
        <w:shd w:val="clear" w:color="4472C4" w:fill="4472C4"/>
      </w:tcPr>
    </w:tblStylePr>
    <w:tblStylePr w:type="lastCol">
      <w:rPr>
        <w:rFonts w:ascii="Arial" w:hAnsi="Arial"/>
        <w:b/>
        <w:color w:val="FFFFFF"/>
        <w:sz w:val="22"/>
      </w:rPr>
      <w:tblPr/>
      <w:tcPr>
        <w:shd w:val="clear" w:color="4472C4" w:fill="4472C4"/>
      </w:tcPr>
    </w:tblStylePr>
    <w:tblStylePr w:type="band1Vert">
      <w:tblPr/>
      <w:tcPr>
        <w:shd w:val="clear" w:color="A9BEE4" w:fill="A9BEE4"/>
      </w:tcPr>
    </w:tblStylePr>
    <w:tblStylePr w:type="band1Horz">
      <w:tblPr/>
      <w:tcPr>
        <w:shd w:val="clear" w:color="A9BEE4" w:fill="A9BEE4"/>
      </w:tcPr>
    </w:tblStylePr>
  </w:style>
  <w:style w:type="table" w:customStyle="1" w:styleId="GridTable5Dark-Accent6">
    <w:name w:val="Grid Table 5 Dark - Accent 6"/>
    <w:basedOn w:val="a1"/>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1EFD8" w:fill="E1EFD8"/>
    </w:tblPr>
    <w:tblStylePr w:type="firstRow">
      <w:rPr>
        <w:rFonts w:ascii="Arial" w:hAnsi="Arial"/>
        <w:b/>
        <w:color w:val="FFFFFF"/>
        <w:sz w:val="22"/>
      </w:rPr>
      <w:tblPr/>
      <w:tcPr>
        <w:shd w:val="clear" w:color="70AD47" w:fill="70AD47"/>
      </w:tcPr>
    </w:tblStylePr>
    <w:tblStylePr w:type="lastRow">
      <w:rPr>
        <w:rFonts w:ascii="Arial" w:hAnsi="Arial"/>
        <w:b/>
        <w:color w:val="FFFFFF"/>
        <w:sz w:val="22"/>
      </w:rPr>
      <w:tblPr/>
      <w:tcPr>
        <w:tcBorders>
          <w:top w:val="single" w:sz="4" w:space="0" w:color="FFFFFF"/>
        </w:tcBorders>
        <w:shd w:val="clear" w:color="70AD47" w:fill="70AD47"/>
      </w:tcPr>
    </w:tblStylePr>
    <w:tblStylePr w:type="firstCol">
      <w:rPr>
        <w:rFonts w:ascii="Arial" w:hAnsi="Arial"/>
        <w:b/>
        <w:color w:val="FFFFFF"/>
        <w:sz w:val="22"/>
      </w:rPr>
      <w:tblPr/>
      <w:tcPr>
        <w:shd w:val="clear" w:color="70AD47" w:fill="70AD47"/>
      </w:tcPr>
    </w:tblStylePr>
    <w:tblStylePr w:type="lastCol">
      <w:rPr>
        <w:rFonts w:ascii="Arial" w:hAnsi="Arial"/>
        <w:b/>
        <w:color w:val="FFFFFF"/>
        <w:sz w:val="22"/>
      </w:rPr>
      <w:tblPr/>
      <w:tcPr>
        <w:shd w:val="clear" w:color="70AD47" w:fill="70AD47"/>
      </w:tcPr>
    </w:tblStylePr>
    <w:tblStylePr w:type="band1Vert">
      <w:tblPr/>
      <w:tcPr>
        <w:shd w:val="clear" w:color="BCDBA8" w:fill="BCDBA8"/>
      </w:tcPr>
    </w:tblStylePr>
    <w:tblStylePr w:type="band1Horz">
      <w:tblPr/>
      <w:tcPr>
        <w:shd w:val="clear" w:color="BCDBA8" w:fill="BCDBA8"/>
      </w:tcPr>
    </w:tblStylePr>
  </w:style>
  <w:style w:type="table" w:styleId="-6">
    <w:name w:val="Grid Table 6 Colorful"/>
    <w:basedOn w:val="a1"/>
    <w:uiPriority w:val="99"/>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CCCEA"/>
        <w:left w:val="single" w:sz="4" w:space="0" w:color="ACCCEA"/>
        <w:bottom w:val="single" w:sz="4" w:space="0" w:color="ACCCEA"/>
        <w:right w:val="single" w:sz="4" w:space="0" w:color="ACCCEA"/>
        <w:insideH w:val="single" w:sz="4" w:space="0" w:color="ACCCEA"/>
        <w:insideV w:val="single" w:sz="4" w:space="0" w:color="ACCCEA"/>
      </w:tblBorders>
    </w:tblPr>
    <w:tblStylePr w:type="firstRow">
      <w:rPr>
        <w:b/>
        <w:color w:val="ACCCEA"/>
      </w:rPr>
      <w:tblPr/>
      <w:tcPr>
        <w:tcBorders>
          <w:bottom w:val="single" w:sz="12" w:space="0" w:color="ACCCEA"/>
        </w:tcBorders>
      </w:tcPr>
    </w:tblStylePr>
    <w:tblStylePr w:type="lastRow">
      <w:rPr>
        <w:b/>
        <w:color w:val="ACCCEA"/>
      </w:rPr>
    </w:tblStylePr>
    <w:tblStylePr w:type="firstCol">
      <w:rPr>
        <w:b/>
        <w:color w:val="ACCCEA"/>
      </w:rPr>
    </w:tblStylePr>
    <w:tblStylePr w:type="lastCol">
      <w:rPr>
        <w:b/>
        <w:color w:val="ACCCEA"/>
      </w:rPr>
    </w:tblStylePr>
    <w:tblStylePr w:type="band1Vert">
      <w:tblPr/>
      <w:tcPr>
        <w:shd w:val="clear" w:color="DDEAF6" w:fill="DDEAF6"/>
      </w:tcPr>
    </w:tblStylePr>
    <w:tblStylePr w:type="band1Horz">
      <w:rPr>
        <w:rFonts w:ascii="Arial" w:hAnsi="Arial"/>
        <w:color w:val="ACCCEA"/>
        <w:sz w:val="22"/>
      </w:rPr>
      <w:tblPr/>
      <w:tcPr>
        <w:shd w:val="clear" w:color="DDEAF6" w:fill="DDEAF6"/>
      </w:tcPr>
    </w:tblStylePr>
    <w:tblStylePr w:type="band2Horz">
      <w:rPr>
        <w:rFonts w:ascii="Arial" w:hAnsi="Arial"/>
        <w:color w:val="ACCCEA"/>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left w:val="single" w:sz="4" w:space="0" w:color="F4B184"/>
        <w:bottom w:val="single" w:sz="4" w:space="0" w:color="F4B184"/>
        <w:right w:val="single" w:sz="4" w:space="0" w:color="F4B184"/>
        <w:insideH w:val="single" w:sz="4" w:space="0" w:color="F4B184"/>
        <w:insideV w:val="single" w:sz="4" w:space="0" w:color="F4B184"/>
      </w:tblBorders>
    </w:tblPr>
    <w:tblStylePr w:type="firstRow">
      <w:rPr>
        <w:b/>
        <w:color w:val="F4B184"/>
      </w:rPr>
      <w:tblPr/>
      <w:tcPr>
        <w:tcBorders>
          <w:bottom w:val="single" w:sz="12" w:space="0" w:color="F4B184"/>
        </w:tcBorders>
      </w:tcPr>
    </w:tblStylePr>
    <w:tblStylePr w:type="lastRow">
      <w:rPr>
        <w:b/>
        <w:color w:val="F4B184"/>
      </w:rPr>
    </w:tblStylePr>
    <w:tblStylePr w:type="firstCol">
      <w:rPr>
        <w:b/>
        <w:color w:val="F4B184"/>
      </w:rPr>
    </w:tblStylePr>
    <w:tblStylePr w:type="lastCol">
      <w:rPr>
        <w:b/>
        <w:color w:val="F4B184"/>
      </w:rPr>
    </w:tblStylePr>
    <w:tblStylePr w:type="band1Vert">
      <w:tblPr/>
      <w:tcPr>
        <w:shd w:val="clear" w:color="FBE5D6" w:fill="FBE5D6"/>
      </w:tcPr>
    </w:tblStylePr>
    <w:tblStylePr w:type="band1Horz">
      <w:rPr>
        <w:rFonts w:ascii="Arial" w:hAnsi="Arial"/>
        <w:color w:val="F4B184"/>
        <w:sz w:val="22"/>
      </w:rPr>
      <w:tblPr/>
      <w:tcPr>
        <w:shd w:val="clear" w:color="FBE5D6" w:fill="FBE5D6"/>
      </w:tcPr>
    </w:tblStylePr>
    <w:tblStylePr w:type="band2Horz">
      <w:rPr>
        <w:rFonts w:ascii="Arial" w:hAnsi="Arial"/>
        <w:color w:val="F4B184"/>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Pr>
    <w:tblStylePr w:type="firstRow">
      <w:rPr>
        <w:b/>
        <w:color w:val="A5A5A5"/>
      </w:rPr>
      <w:tblPr/>
      <w:tcPr>
        <w:tcBorders>
          <w:bottom w:val="single" w:sz="12" w:space="0" w:color="A5A5A5"/>
        </w:tcBorders>
      </w:tcPr>
    </w:tblStylePr>
    <w:tblStylePr w:type="lastRow">
      <w:rPr>
        <w:b/>
        <w:color w:val="A5A5A5"/>
      </w:rPr>
    </w:tblStylePr>
    <w:tblStylePr w:type="firstCol">
      <w:rPr>
        <w:b/>
        <w:color w:val="A5A5A5"/>
      </w:rPr>
    </w:tblStylePr>
    <w:tblStylePr w:type="lastCol">
      <w:rPr>
        <w:b/>
        <w:color w:val="A5A5A5"/>
      </w:rPr>
    </w:tblStylePr>
    <w:tblStylePr w:type="band1Vert">
      <w:tblPr/>
      <w:tcPr>
        <w:shd w:val="clear" w:color="ECECEC" w:fill="ECECEC"/>
      </w:tcPr>
    </w:tblStylePr>
    <w:tblStylePr w:type="band1Horz">
      <w:rPr>
        <w:rFonts w:ascii="Arial" w:hAnsi="Arial"/>
        <w:color w:val="A5A5A5"/>
        <w:sz w:val="22"/>
      </w:rPr>
      <w:tblPr/>
      <w:tcPr>
        <w:shd w:val="clear" w:color="ECECEC" w:fill="ECECEC"/>
      </w:tcPr>
    </w:tblStylePr>
    <w:tblStylePr w:type="band2Horz">
      <w:rPr>
        <w:rFonts w:ascii="Arial" w:hAnsi="Arial"/>
        <w:color w:val="A5A5A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left w:val="single" w:sz="4" w:space="0" w:color="FFD865"/>
        <w:bottom w:val="single" w:sz="4" w:space="0" w:color="FFD865"/>
        <w:right w:val="single" w:sz="4" w:space="0" w:color="FFD865"/>
        <w:insideH w:val="single" w:sz="4" w:space="0" w:color="FFD865"/>
        <w:insideV w:val="single" w:sz="4" w:space="0" w:color="FFD865"/>
      </w:tblBorders>
    </w:tblPr>
    <w:tblStylePr w:type="firstRow">
      <w:rPr>
        <w:b/>
        <w:color w:val="FFD865"/>
      </w:rPr>
      <w:tblPr/>
      <w:tcPr>
        <w:tcBorders>
          <w:bottom w:val="single" w:sz="12" w:space="0" w:color="FFD865"/>
        </w:tcBorders>
      </w:tcPr>
    </w:tblStylePr>
    <w:tblStylePr w:type="lastRow">
      <w:rPr>
        <w:b/>
        <w:color w:val="FFD865"/>
      </w:rPr>
    </w:tblStylePr>
    <w:tblStylePr w:type="firstCol">
      <w:rPr>
        <w:b/>
        <w:color w:val="FFD865"/>
      </w:rPr>
    </w:tblStylePr>
    <w:tblStylePr w:type="lastCol">
      <w:rPr>
        <w:b/>
        <w:color w:val="FFD865"/>
      </w:rPr>
    </w:tblStylePr>
    <w:tblStylePr w:type="band1Vert">
      <w:tblPr/>
      <w:tcPr>
        <w:shd w:val="clear" w:color="FFF2CB" w:fill="FFF2CB"/>
      </w:tcPr>
    </w:tblStylePr>
    <w:tblStylePr w:type="band1Horz">
      <w:rPr>
        <w:rFonts w:ascii="Arial" w:hAnsi="Arial"/>
        <w:color w:val="FFD865"/>
        <w:sz w:val="22"/>
      </w:rPr>
      <w:tblPr/>
      <w:tcPr>
        <w:shd w:val="clear" w:color="FFF2CB" w:fill="FFF2CB"/>
      </w:tcPr>
    </w:tblStylePr>
    <w:tblStylePr w:type="band2Horz">
      <w:rPr>
        <w:rFonts w:ascii="Arial" w:hAnsi="Arial"/>
        <w:color w:val="FFD86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StylePr w:type="firstRow">
      <w:rPr>
        <w:b/>
        <w:color w:val="254175"/>
      </w:rPr>
      <w:tblPr/>
      <w:tcPr>
        <w:tcBorders>
          <w:bottom w:val="single" w:sz="12" w:space="0" w:color="4472C4"/>
        </w:tcBorders>
      </w:tcPr>
    </w:tblStylePr>
    <w:tblStylePr w:type="lastRow">
      <w:rPr>
        <w:b/>
        <w:color w:val="254175"/>
      </w:rPr>
    </w:tblStylePr>
    <w:tblStylePr w:type="firstCol">
      <w:rPr>
        <w:b/>
        <w:color w:val="254175"/>
      </w:rPr>
    </w:tblStylePr>
    <w:tblStylePr w:type="lastCol">
      <w:rPr>
        <w:b/>
        <w:color w:val="254175"/>
      </w:rPr>
    </w:tblStylePr>
    <w:tblStylePr w:type="band1Vert">
      <w:tblPr/>
      <w:tcPr>
        <w:shd w:val="clear" w:color="D8E2F3" w:fill="D8E2F3"/>
      </w:tcPr>
    </w:tblStylePr>
    <w:tblStylePr w:type="band1Horz">
      <w:rPr>
        <w:rFonts w:ascii="Arial" w:hAnsi="Arial"/>
        <w:color w:val="254175"/>
        <w:sz w:val="22"/>
      </w:rPr>
      <w:tblPr/>
      <w:tcPr>
        <w:shd w:val="clear" w:color="D8E2F3" w:fill="D8E2F3"/>
      </w:tcPr>
    </w:tblStylePr>
    <w:tblStylePr w:type="band2Horz">
      <w:rPr>
        <w:rFonts w:ascii="Arial" w:hAnsi="Arial"/>
        <w:color w:val="25417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Pr>
    <w:tblStylePr w:type="firstRow">
      <w:rPr>
        <w:b/>
        <w:color w:val="254175"/>
      </w:rPr>
      <w:tblPr/>
      <w:tcPr>
        <w:tcBorders>
          <w:bottom w:val="single" w:sz="12" w:space="0" w:color="70AD47"/>
        </w:tcBorders>
      </w:tcPr>
    </w:tblStylePr>
    <w:tblStylePr w:type="lastRow">
      <w:rPr>
        <w:b/>
        <w:color w:val="254175"/>
      </w:rPr>
    </w:tblStylePr>
    <w:tblStylePr w:type="firstCol">
      <w:rPr>
        <w:b/>
        <w:color w:val="254175"/>
      </w:rPr>
    </w:tblStylePr>
    <w:tblStylePr w:type="lastCol">
      <w:rPr>
        <w:b/>
        <w:color w:val="254175"/>
      </w:rPr>
    </w:tblStylePr>
    <w:tblStylePr w:type="band1Vert">
      <w:tblPr/>
      <w:tcPr>
        <w:shd w:val="clear" w:color="E1EFD8" w:fill="E1EFD8"/>
      </w:tcPr>
    </w:tblStylePr>
    <w:tblStylePr w:type="band1Horz">
      <w:rPr>
        <w:rFonts w:ascii="Arial" w:hAnsi="Arial"/>
        <w:color w:val="254175"/>
        <w:sz w:val="22"/>
      </w:rPr>
      <w:tblPr/>
      <w:tcPr>
        <w:shd w:val="clear" w:color="E1EFD8" w:fill="E1EFD8"/>
      </w:tcPr>
    </w:tblStylePr>
    <w:tblStylePr w:type="band2Horz">
      <w:rPr>
        <w:rFonts w:ascii="Arial" w:hAnsi="Arial"/>
        <w:color w:val="254175"/>
        <w:sz w:val="22"/>
      </w:rPr>
    </w:tblStylePr>
  </w:style>
  <w:style w:type="table" w:styleId="-7">
    <w:name w:val="Grid Table 7 Colorful"/>
    <w:basedOn w:val="a1"/>
    <w:uiPriority w:val="99"/>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0" w:space="0" w:color="000000"/>
          <w:left w:val="none" w:sz="0" w:space="0" w:color="000000"/>
          <w:bottom w:val="single" w:sz="4" w:space="0" w:color="7F7F7F"/>
          <w:right w:val="none" w:sz="0" w:space="0" w:color="000000"/>
        </w:tcBorders>
        <w:shd w:val="clear" w:color="FFFFFF" w:fill="FFFFFF"/>
      </w:tcPr>
    </w:tblStylePr>
    <w:tblStylePr w:type="lastRow">
      <w:rPr>
        <w:rFonts w:ascii="Arial" w:hAnsi="Arial"/>
        <w:b/>
        <w:color w:val="7F7F7F"/>
        <w:sz w:val="22"/>
      </w:rPr>
      <w:tblPr/>
      <w:tcPr>
        <w:tcBorders>
          <w:top w:val="single" w:sz="4" w:space="0" w:color="7F7F7F"/>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7F7F7F"/>
        <w:sz w:val="22"/>
      </w:rPr>
      <w:tblPr/>
      <w:tcPr>
        <w:tcBorders>
          <w:top w:val="none" w:sz="0" w:space="0" w:color="000000"/>
          <w:left w:val="none" w:sz="0" w:space="0" w:color="000000"/>
          <w:bottom w:val="none" w:sz="0" w:space="0" w:color="000000"/>
          <w:right w:val="single" w:sz="4" w:space="0" w:color="7F7F7F"/>
        </w:tcBorders>
        <w:shd w:val="clear" w:color="FFFFFF" w:fill="auto"/>
      </w:tcPr>
    </w:tblStylePr>
    <w:tblStylePr w:type="lastCol">
      <w:rPr>
        <w:rFonts w:ascii="Arial" w:hAnsi="Arial"/>
        <w:i/>
        <w:color w:val="7F7F7F"/>
        <w:sz w:val="22"/>
      </w:rPr>
      <w:tblPr/>
      <w:tcPr>
        <w:tcBorders>
          <w:top w:val="none" w:sz="0" w:space="0" w:color="000000"/>
          <w:left w:val="single" w:sz="4" w:space="0" w:color="7F7F7F"/>
          <w:bottom w:val="none" w:sz="0" w:space="0" w:color="000000"/>
          <w:right w:val="none" w:sz="0" w:space="0" w:color="000000"/>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CCCEA"/>
        <w:right w:val="single" w:sz="4" w:space="0" w:color="ACCCEA"/>
        <w:insideH w:val="single" w:sz="4" w:space="0" w:color="ACCCEA"/>
        <w:insideV w:val="single" w:sz="4" w:space="0" w:color="ACCCEA"/>
      </w:tblBorders>
    </w:tblPr>
    <w:tblStylePr w:type="firstRow">
      <w:rPr>
        <w:rFonts w:ascii="Arial" w:hAnsi="Arial"/>
        <w:b/>
        <w:color w:val="ACCCEA"/>
        <w:sz w:val="22"/>
      </w:rPr>
      <w:tblPr/>
      <w:tcPr>
        <w:tcBorders>
          <w:top w:val="none" w:sz="0" w:space="0" w:color="000000"/>
          <w:left w:val="none" w:sz="0" w:space="0" w:color="000000"/>
          <w:bottom w:val="single" w:sz="4" w:space="0" w:color="ACCCEA"/>
          <w:right w:val="none" w:sz="0" w:space="0" w:color="000000"/>
        </w:tcBorders>
        <w:shd w:val="clear" w:color="FFFFFF" w:fill="FFFFFF"/>
      </w:tcPr>
    </w:tblStylePr>
    <w:tblStylePr w:type="lastRow">
      <w:rPr>
        <w:rFonts w:ascii="Arial" w:hAnsi="Arial"/>
        <w:b/>
        <w:color w:val="ACCCEA"/>
        <w:sz w:val="22"/>
      </w:rPr>
      <w:tblPr/>
      <w:tcPr>
        <w:tcBorders>
          <w:top w:val="single" w:sz="4" w:space="0" w:color="ACCCEA"/>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ACCCEA"/>
        <w:sz w:val="22"/>
      </w:rPr>
      <w:tblPr/>
      <w:tcPr>
        <w:tcBorders>
          <w:top w:val="none" w:sz="0" w:space="0" w:color="000000"/>
          <w:left w:val="none" w:sz="0" w:space="0" w:color="000000"/>
          <w:bottom w:val="none" w:sz="0" w:space="0" w:color="000000"/>
          <w:right w:val="single" w:sz="4" w:space="0" w:color="ACCCEA"/>
        </w:tcBorders>
        <w:shd w:val="clear" w:color="FFFFFF" w:fill="auto"/>
      </w:tcPr>
    </w:tblStylePr>
    <w:tblStylePr w:type="lastCol">
      <w:rPr>
        <w:rFonts w:ascii="Arial" w:hAnsi="Arial"/>
        <w:i/>
        <w:color w:val="ACCCEA"/>
        <w:sz w:val="22"/>
      </w:rPr>
      <w:tblPr/>
      <w:tcPr>
        <w:tcBorders>
          <w:top w:val="none" w:sz="0" w:space="0" w:color="000000"/>
          <w:left w:val="single" w:sz="4" w:space="0" w:color="ACCCEA"/>
          <w:bottom w:val="none" w:sz="0" w:space="0" w:color="000000"/>
          <w:right w:val="none" w:sz="0" w:space="0" w:color="000000"/>
        </w:tcBorders>
        <w:shd w:val="clear" w:color="FFFFFF" w:fill="auto"/>
      </w:tcPr>
    </w:tblStylePr>
    <w:tblStylePr w:type="band1Vert">
      <w:tblPr/>
      <w:tcPr>
        <w:shd w:val="clear" w:color="DDEAF6" w:fill="DDEAF6"/>
      </w:tcPr>
    </w:tblStylePr>
    <w:tblStylePr w:type="band1Horz">
      <w:rPr>
        <w:rFonts w:ascii="Arial" w:hAnsi="Arial"/>
        <w:color w:val="ACCCEA"/>
        <w:sz w:val="22"/>
      </w:rPr>
      <w:tblPr/>
      <w:tcPr>
        <w:shd w:val="clear" w:color="DDEAF6" w:fill="DDEAF6"/>
      </w:tcPr>
    </w:tblStylePr>
    <w:tblStylePr w:type="band2Horz">
      <w:rPr>
        <w:rFonts w:ascii="Arial" w:hAnsi="Arial"/>
        <w:color w:val="ACCCEA"/>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right w:val="single" w:sz="4" w:space="0" w:color="F4B184"/>
        <w:insideH w:val="single" w:sz="4" w:space="0" w:color="F4B184"/>
        <w:insideV w:val="single" w:sz="4" w:space="0" w:color="F4B184"/>
      </w:tblBorders>
    </w:tblPr>
    <w:tblStylePr w:type="firstRow">
      <w:rPr>
        <w:rFonts w:ascii="Arial" w:hAnsi="Arial"/>
        <w:b/>
        <w:color w:val="F4B184"/>
        <w:sz w:val="22"/>
      </w:rPr>
      <w:tblPr/>
      <w:tcPr>
        <w:tcBorders>
          <w:top w:val="none" w:sz="0" w:space="0" w:color="000000"/>
          <w:left w:val="none" w:sz="0" w:space="0" w:color="000000"/>
          <w:bottom w:val="single" w:sz="4" w:space="0" w:color="F4B184"/>
          <w:right w:val="none" w:sz="0" w:space="0" w:color="000000"/>
        </w:tcBorders>
        <w:shd w:val="clear" w:color="FFFFFF" w:fill="FFFFFF"/>
      </w:tcPr>
    </w:tblStylePr>
    <w:tblStylePr w:type="lastRow">
      <w:rPr>
        <w:rFonts w:ascii="Arial" w:hAnsi="Arial"/>
        <w:b/>
        <w:color w:val="F4B184"/>
        <w:sz w:val="22"/>
      </w:rPr>
      <w:tblPr/>
      <w:tcPr>
        <w:tcBorders>
          <w:top w:val="single" w:sz="4" w:space="0" w:color="F4B184"/>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F4B184"/>
        <w:sz w:val="22"/>
      </w:rPr>
      <w:tblPr/>
      <w:tcPr>
        <w:tcBorders>
          <w:top w:val="none" w:sz="0" w:space="0" w:color="000000"/>
          <w:left w:val="none" w:sz="0" w:space="0" w:color="000000"/>
          <w:bottom w:val="none" w:sz="0" w:space="0" w:color="000000"/>
          <w:right w:val="single" w:sz="4" w:space="0" w:color="F4B184"/>
        </w:tcBorders>
        <w:shd w:val="clear" w:color="FFFFFF" w:fill="auto"/>
      </w:tcPr>
    </w:tblStylePr>
    <w:tblStylePr w:type="lastCol">
      <w:rPr>
        <w:rFonts w:ascii="Arial" w:hAnsi="Arial"/>
        <w:i/>
        <w:color w:val="F4B184"/>
        <w:sz w:val="22"/>
      </w:rPr>
      <w:tblPr/>
      <w:tcPr>
        <w:tcBorders>
          <w:top w:val="none" w:sz="0" w:space="0" w:color="000000"/>
          <w:left w:val="single" w:sz="4" w:space="0" w:color="F4B184"/>
          <w:bottom w:val="none" w:sz="0" w:space="0" w:color="000000"/>
          <w:right w:val="none" w:sz="0" w:space="0" w:color="000000"/>
        </w:tcBorders>
        <w:shd w:val="clear" w:color="FFFFFF" w:fill="auto"/>
      </w:tcPr>
    </w:tblStylePr>
    <w:tblStylePr w:type="band1Vert">
      <w:tblPr/>
      <w:tcPr>
        <w:shd w:val="clear" w:color="FBE5D6" w:fill="FBE5D6"/>
      </w:tcPr>
    </w:tblStylePr>
    <w:tblStylePr w:type="band1Horz">
      <w:rPr>
        <w:rFonts w:ascii="Arial" w:hAnsi="Arial"/>
        <w:color w:val="F4B184"/>
        <w:sz w:val="22"/>
      </w:rPr>
      <w:tblPr/>
      <w:tcPr>
        <w:shd w:val="clear" w:color="FBE5D6" w:fill="FBE5D6"/>
      </w:tcPr>
    </w:tblStylePr>
    <w:tblStylePr w:type="band2Horz">
      <w:rPr>
        <w:rFonts w:ascii="Arial" w:hAnsi="Arial"/>
        <w:color w:val="F4B184"/>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right w:val="single" w:sz="4" w:space="0" w:color="A5A5A5"/>
        <w:insideH w:val="single" w:sz="4" w:space="0" w:color="A5A5A5"/>
        <w:insideV w:val="single" w:sz="4" w:space="0" w:color="A5A5A5"/>
      </w:tblBorders>
    </w:tblPr>
    <w:tblStylePr w:type="firstRow">
      <w:rPr>
        <w:rFonts w:ascii="Arial" w:hAnsi="Arial"/>
        <w:b/>
        <w:color w:val="A5A5A5"/>
        <w:sz w:val="22"/>
      </w:rPr>
      <w:tblPr/>
      <w:tcPr>
        <w:tcBorders>
          <w:top w:val="none" w:sz="0" w:space="0" w:color="000000"/>
          <w:left w:val="none" w:sz="0" w:space="0" w:color="000000"/>
          <w:bottom w:val="single" w:sz="4" w:space="0" w:color="A5A5A5"/>
          <w:right w:val="none" w:sz="0" w:space="0" w:color="000000"/>
        </w:tcBorders>
        <w:shd w:val="clear" w:color="FFFFFF" w:fill="FFFFFF"/>
      </w:tcPr>
    </w:tblStylePr>
    <w:tblStylePr w:type="lastRow">
      <w:rPr>
        <w:rFonts w:ascii="Arial" w:hAnsi="Arial"/>
        <w:b/>
        <w:color w:val="A5A5A5"/>
        <w:sz w:val="22"/>
      </w:rPr>
      <w:tblPr/>
      <w:tcPr>
        <w:tcBorders>
          <w:top w:val="single" w:sz="4" w:space="0" w:color="A5A5A5"/>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A5A5A5"/>
        <w:sz w:val="22"/>
      </w:rPr>
      <w:tblPr/>
      <w:tcPr>
        <w:tcBorders>
          <w:top w:val="none" w:sz="0" w:space="0" w:color="000000"/>
          <w:left w:val="none" w:sz="0" w:space="0" w:color="000000"/>
          <w:bottom w:val="none" w:sz="0" w:space="0" w:color="000000"/>
          <w:right w:val="single" w:sz="4" w:space="0" w:color="A5A5A5"/>
        </w:tcBorders>
        <w:shd w:val="clear" w:color="FFFFFF" w:fill="auto"/>
      </w:tcPr>
    </w:tblStylePr>
    <w:tblStylePr w:type="lastCol">
      <w:rPr>
        <w:rFonts w:ascii="Arial" w:hAnsi="Arial"/>
        <w:i/>
        <w:color w:val="A5A5A5"/>
        <w:sz w:val="22"/>
      </w:rPr>
      <w:tblPr/>
      <w:tcPr>
        <w:tcBorders>
          <w:top w:val="none" w:sz="0" w:space="0" w:color="000000"/>
          <w:left w:val="single" w:sz="4" w:space="0" w:color="A5A5A5"/>
          <w:bottom w:val="none" w:sz="0" w:space="0" w:color="000000"/>
          <w:right w:val="none" w:sz="0" w:space="0" w:color="000000"/>
        </w:tcBorders>
        <w:shd w:val="clear" w:color="FFFFFF" w:fill="auto"/>
      </w:tcPr>
    </w:tblStylePr>
    <w:tblStylePr w:type="band1Vert">
      <w:tblPr/>
      <w:tcPr>
        <w:shd w:val="clear" w:color="ECECEC" w:fill="ECECEC"/>
      </w:tcPr>
    </w:tblStylePr>
    <w:tblStylePr w:type="band1Horz">
      <w:rPr>
        <w:rFonts w:ascii="Arial" w:hAnsi="Arial"/>
        <w:color w:val="A5A5A5"/>
        <w:sz w:val="22"/>
      </w:rPr>
      <w:tblPr/>
      <w:tcPr>
        <w:shd w:val="clear" w:color="ECECEC" w:fill="ECECEC"/>
      </w:tcPr>
    </w:tblStylePr>
    <w:tblStylePr w:type="band2Horz">
      <w:rPr>
        <w:rFonts w:ascii="Arial" w:hAnsi="Arial"/>
        <w:color w:val="A5A5A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right w:val="single" w:sz="4" w:space="0" w:color="FFD865"/>
        <w:insideH w:val="single" w:sz="4" w:space="0" w:color="FFD865"/>
        <w:insideV w:val="single" w:sz="4" w:space="0" w:color="FFD865"/>
      </w:tblBorders>
    </w:tblPr>
    <w:tblStylePr w:type="firstRow">
      <w:rPr>
        <w:rFonts w:ascii="Arial" w:hAnsi="Arial"/>
        <w:b/>
        <w:color w:val="FFD865"/>
        <w:sz w:val="22"/>
      </w:rPr>
      <w:tblPr/>
      <w:tcPr>
        <w:tcBorders>
          <w:top w:val="none" w:sz="0" w:space="0" w:color="000000"/>
          <w:left w:val="none" w:sz="0" w:space="0" w:color="000000"/>
          <w:bottom w:val="single" w:sz="4" w:space="0" w:color="FFD865"/>
          <w:right w:val="none" w:sz="0" w:space="0" w:color="000000"/>
        </w:tcBorders>
        <w:shd w:val="clear" w:color="FFFFFF" w:fill="FFFFFF"/>
      </w:tcPr>
    </w:tblStylePr>
    <w:tblStylePr w:type="lastRow">
      <w:rPr>
        <w:rFonts w:ascii="Arial" w:hAnsi="Arial"/>
        <w:b/>
        <w:color w:val="FFD865"/>
        <w:sz w:val="22"/>
      </w:rPr>
      <w:tblPr/>
      <w:tcPr>
        <w:tcBorders>
          <w:top w:val="single" w:sz="4" w:space="0" w:color="FFD865"/>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FFD865"/>
        <w:sz w:val="22"/>
      </w:rPr>
      <w:tblPr/>
      <w:tcPr>
        <w:tcBorders>
          <w:top w:val="none" w:sz="0" w:space="0" w:color="000000"/>
          <w:left w:val="none" w:sz="0" w:space="0" w:color="000000"/>
          <w:bottom w:val="none" w:sz="0" w:space="0" w:color="000000"/>
          <w:right w:val="single" w:sz="4" w:space="0" w:color="FFD865"/>
        </w:tcBorders>
        <w:shd w:val="clear" w:color="FFFFFF" w:fill="auto"/>
      </w:tcPr>
    </w:tblStylePr>
    <w:tblStylePr w:type="lastCol">
      <w:rPr>
        <w:rFonts w:ascii="Arial" w:hAnsi="Arial"/>
        <w:i/>
        <w:color w:val="FFD865"/>
        <w:sz w:val="22"/>
      </w:rPr>
      <w:tblPr/>
      <w:tcPr>
        <w:tcBorders>
          <w:top w:val="none" w:sz="0" w:space="0" w:color="000000"/>
          <w:left w:val="single" w:sz="4" w:space="0" w:color="FFD865"/>
          <w:bottom w:val="none" w:sz="0" w:space="0" w:color="000000"/>
          <w:right w:val="none" w:sz="0" w:space="0" w:color="000000"/>
        </w:tcBorders>
        <w:shd w:val="clear" w:color="FFFFFF" w:fill="auto"/>
      </w:tcPr>
    </w:tblStylePr>
    <w:tblStylePr w:type="band1Vert">
      <w:tblPr/>
      <w:tcPr>
        <w:shd w:val="clear" w:color="FFF2CB" w:fill="FFF2CB"/>
      </w:tcPr>
    </w:tblStylePr>
    <w:tblStylePr w:type="band1Horz">
      <w:rPr>
        <w:rFonts w:ascii="Arial" w:hAnsi="Arial"/>
        <w:color w:val="FFD865"/>
        <w:sz w:val="22"/>
      </w:rPr>
      <w:tblPr/>
      <w:tcPr>
        <w:shd w:val="clear" w:color="FFF2CB" w:fill="FFF2CB"/>
      </w:tcPr>
    </w:tblStylePr>
    <w:tblStylePr w:type="band2Horz">
      <w:rPr>
        <w:rFonts w:ascii="Arial" w:hAnsi="Arial"/>
        <w:color w:val="FFD86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5AFDD"/>
        <w:right w:val="single" w:sz="4" w:space="0" w:color="95AFDD"/>
        <w:insideH w:val="single" w:sz="4" w:space="0" w:color="95AFDD"/>
        <w:insideV w:val="single" w:sz="4" w:space="0" w:color="95AFDD"/>
      </w:tblBorders>
    </w:tblPr>
    <w:tblStylePr w:type="firstRow">
      <w:rPr>
        <w:rFonts w:ascii="Arial" w:hAnsi="Arial"/>
        <w:b/>
        <w:color w:val="254175"/>
        <w:sz w:val="22"/>
      </w:rPr>
      <w:tblPr/>
      <w:tcPr>
        <w:tcBorders>
          <w:top w:val="none" w:sz="0" w:space="0" w:color="000000"/>
          <w:left w:val="none" w:sz="0" w:space="0" w:color="000000"/>
          <w:bottom w:val="single" w:sz="4" w:space="0" w:color="95AFDD"/>
          <w:right w:val="none" w:sz="0" w:space="0" w:color="000000"/>
        </w:tcBorders>
        <w:shd w:val="clear" w:color="FFFFFF" w:fill="FFFFFF"/>
      </w:tcPr>
    </w:tblStylePr>
    <w:tblStylePr w:type="lastRow">
      <w:rPr>
        <w:rFonts w:ascii="Arial" w:hAnsi="Arial"/>
        <w:b/>
        <w:color w:val="254175"/>
        <w:sz w:val="22"/>
      </w:rPr>
      <w:tblPr/>
      <w:tcPr>
        <w:tcBorders>
          <w:top w:val="single" w:sz="4" w:space="0" w:color="95AFDD"/>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254175"/>
        <w:sz w:val="22"/>
      </w:rPr>
      <w:tblPr/>
      <w:tcPr>
        <w:tcBorders>
          <w:top w:val="none" w:sz="0" w:space="0" w:color="000000"/>
          <w:left w:val="none" w:sz="0" w:space="0" w:color="000000"/>
          <w:bottom w:val="none" w:sz="0" w:space="0" w:color="000000"/>
          <w:right w:val="single" w:sz="4" w:space="0" w:color="95AFDD"/>
        </w:tcBorders>
        <w:shd w:val="clear" w:color="FFFFFF" w:fill="auto"/>
      </w:tcPr>
    </w:tblStylePr>
    <w:tblStylePr w:type="lastCol">
      <w:rPr>
        <w:rFonts w:ascii="Arial" w:hAnsi="Arial"/>
        <w:i/>
        <w:color w:val="254175"/>
        <w:sz w:val="22"/>
      </w:rPr>
      <w:tblPr/>
      <w:tcPr>
        <w:tcBorders>
          <w:top w:val="none" w:sz="0" w:space="0" w:color="000000"/>
          <w:left w:val="single" w:sz="4" w:space="0" w:color="95AFDD"/>
          <w:bottom w:val="none" w:sz="0" w:space="0" w:color="000000"/>
          <w:right w:val="none" w:sz="0" w:space="0" w:color="000000"/>
        </w:tcBorders>
        <w:shd w:val="clear" w:color="FFFFFF" w:fill="auto"/>
      </w:tcPr>
    </w:tblStylePr>
    <w:tblStylePr w:type="band1Vert">
      <w:tblPr/>
      <w:tcPr>
        <w:shd w:val="clear" w:color="D8E2F3" w:fill="D8E2F3"/>
      </w:tcPr>
    </w:tblStylePr>
    <w:tblStylePr w:type="band1Horz">
      <w:rPr>
        <w:rFonts w:ascii="Arial" w:hAnsi="Arial"/>
        <w:color w:val="254175"/>
        <w:sz w:val="22"/>
      </w:rPr>
      <w:tblPr/>
      <w:tcPr>
        <w:shd w:val="clear" w:color="D8E2F3" w:fill="D8E2F3"/>
      </w:tcPr>
    </w:tblStylePr>
    <w:tblStylePr w:type="band2Horz">
      <w:rPr>
        <w:rFonts w:ascii="Arial" w:hAnsi="Arial"/>
        <w:color w:val="25417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right w:val="single" w:sz="4" w:space="0" w:color="ADD394"/>
        <w:insideH w:val="single" w:sz="4" w:space="0" w:color="ADD394"/>
        <w:insideV w:val="single" w:sz="4" w:space="0" w:color="ADD394"/>
      </w:tblBorders>
    </w:tblPr>
    <w:tblStylePr w:type="firstRow">
      <w:rPr>
        <w:rFonts w:ascii="Arial" w:hAnsi="Arial"/>
        <w:b/>
        <w:color w:val="416429"/>
        <w:sz w:val="22"/>
      </w:rPr>
      <w:tblPr/>
      <w:tcPr>
        <w:tcBorders>
          <w:top w:val="none" w:sz="0" w:space="0" w:color="000000"/>
          <w:left w:val="none" w:sz="0" w:space="0" w:color="000000"/>
          <w:bottom w:val="single" w:sz="4" w:space="0" w:color="ADD394"/>
          <w:right w:val="none" w:sz="0" w:space="0" w:color="000000"/>
        </w:tcBorders>
        <w:shd w:val="clear" w:color="FFFFFF" w:fill="FFFFFF"/>
      </w:tcPr>
    </w:tblStylePr>
    <w:tblStylePr w:type="lastRow">
      <w:rPr>
        <w:rFonts w:ascii="Arial" w:hAnsi="Arial"/>
        <w:b/>
        <w:color w:val="416429"/>
        <w:sz w:val="22"/>
      </w:rPr>
      <w:tblPr/>
      <w:tcPr>
        <w:tcBorders>
          <w:top w:val="single" w:sz="4" w:space="0" w:color="ADD394"/>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416429"/>
        <w:sz w:val="22"/>
      </w:rPr>
      <w:tblPr/>
      <w:tcPr>
        <w:tcBorders>
          <w:top w:val="none" w:sz="0" w:space="0" w:color="000000"/>
          <w:left w:val="none" w:sz="0" w:space="0" w:color="000000"/>
          <w:bottom w:val="none" w:sz="0" w:space="0" w:color="000000"/>
          <w:right w:val="single" w:sz="4" w:space="0" w:color="ADD394"/>
        </w:tcBorders>
        <w:shd w:val="clear" w:color="FFFFFF" w:fill="auto"/>
      </w:tcPr>
    </w:tblStylePr>
    <w:tblStylePr w:type="lastCol">
      <w:rPr>
        <w:rFonts w:ascii="Arial" w:hAnsi="Arial"/>
        <w:i/>
        <w:color w:val="416429"/>
        <w:sz w:val="22"/>
      </w:rPr>
      <w:tblPr/>
      <w:tcPr>
        <w:tcBorders>
          <w:top w:val="none" w:sz="0" w:space="0" w:color="000000"/>
          <w:left w:val="single" w:sz="4" w:space="0" w:color="ADD394"/>
          <w:bottom w:val="none" w:sz="0" w:space="0" w:color="000000"/>
          <w:right w:val="none" w:sz="0" w:space="0" w:color="000000"/>
        </w:tcBorders>
        <w:shd w:val="clear" w:color="FFFFFF" w:fill="auto"/>
      </w:tcPr>
    </w:tblStylePr>
    <w:tblStylePr w:type="band1Vert">
      <w:tblPr/>
      <w:tcPr>
        <w:shd w:val="clear" w:color="E1EFD8" w:fill="E1EFD8"/>
      </w:tcPr>
    </w:tblStylePr>
    <w:tblStylePr w:type="band1Horz">
      <w:rPr>
        <w:rFonts w:ascii="Arial" w:hAnsi="Arial"/>
        <w:color w:val="416429"/>
        <w:sz w:val="22"/>
      </w:rPr>
      <w:tblPr/>
      <w:tcPr>
        <w:shd w:val="clear" w:color="E1EFD8" w:fill="E1EFD8"/>
      </w:tcPr>
    </w:tblStylePr>
    <w:tblStylePr w:type="band2Horz">
      <w:rPr>
        <w:rFonts w:ascii="Arial" w:hAnsi="Arial"/>
        <w:color w:val="416429"/>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0" w:space="0" w:color="000000"/>
          <w:left w:val="none" w:sz="0" w:space="0" w:color="000000"/>
          <w:bottom w:val="single" w:sz="4" w:space="0" w:color="000000"/>
          <w:right w:val="none" w:sz="0" w:space="0" w:color="000000"/>
        </w:tcBorders>
      </w:tcPr>
    </w:tblStylePr>
    <w:tblStylePr w:type="lastRow">
      <w:rPr>
        <w:b/>
        <w:color w:val="404040"/>
      </w:rPr>
      <w:tblPr/>
      <w:tcPr>
        <w:tcBorders>
          <w:top w:val="single" w:sz="4" w:space="0" w:color="000000"/>
          <w:left w:val="none" w:sz="0" w:space="0" w:color="000000"/>
          <w:bottom w:val="none" w:sz="0" w:space="0" w:color="000000"/>
          <w:right w:val="none" w:sz="0"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0" w:space="0" w:color="000000"/>
          <w:left w:val="none" w:sz="0" w:space="0" w:color="000000"/>
          <w:bottom w:val="single" w:sz="4" w:space="0" w:color="5B9BD5"/>
          <w:right w:val="none" w:sz="0" w:space="0" w:color="000000"/>
        </w:tcBorders>
      </w:tcPr>
    </w:tblStylePr>
    <w:tblStylePr w:type="lastRow">
      <w:rPr>
        <w:b/>
        <w:color w:val="404040"/>
      </w:rPr>
      <w:tblPr/>
      <w:tcPr>
        <w:tcBorders>
          <w:top w:val="single" w:sz="4" w:space="0" w:color="5B9BD5"/>
          <w:left w:val="none" w:sz="0" w:space="0" w:color="000000"/>
          <w:bottom w:val="none" w:sz="0" w:space="0" w:color="000000"/>
          <w:right w:val="none" w:sz="0" w:space="0" w:color="000000"/>
        </w:tcBorders>
      </w:tcPr>
    </w:tblStylePr>
    <w:tblStylePr w:type="firstCol">
      <w:rPr>
        <w:b/>
        <w:color w:val="404040"/>
      </w:rPr>
    </w:tblStylePr>
    <w:tblStylePr w:type="lastCol">
      <w:rPr>
        <w:b/>
        <w:color w:val="404040"/>
      </w:rPr>
    </w:tblStylePr>
    <w:tblStylePr w:type="band1Vert">
      <w:tblPr/>
      <w:tcPr>
        <w:shd w:val="clear" w:color="D5E5F4" w:fill="D5E5F4"/>
      </w:tcPr>
    </w:tblStylePr>
    <w:tblStylePr w:type="band1Horz">
      <w:tblPr/>
      <w:tcPr>
        <w:shd w:val="clear" w:color="D5E5F4" w:fill="D5E5F4"/>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0" w:space="0" w:color="000000"/>
          <w:left w:val="none" w:sz="0" w:space="0" w:color="000000"/>
          <w:bottom w:val="single" w:sz="4" w:space="0" w:color="ED7D31"/>
          <w:right w:val="none" w:sz="0" w:space="0" w:color="000000"/>
        </w:tcBorders>
      </w:tcPr>
    </w:tblStylePr>
    <w:tblStylePr w:type="lastRow">
      <w:rPr>
        <w:b/>
        <w:color w:val="404040"/>
      </w:rPr>
      <w:tblPr/>
      <w:tcPr>
        <w:tcBorders>
          <w:top w:val="single" w:sz="4" w:space="0" w:color="ED7D31"/>
          <w:left w:val="none" w:sz="0" w:space="0" w:color="000000"/>
          <w:bottom w:val="none" w:sz="0" w:space="0" w:color="000000"/>
          <w:right w:val="none" w:sz="0" w:space="0" w:color="000000"/>
        </w:tcBorders>
      </w:tcPr>
    </w:tblStylePr>
    <w:tblStylePr w:type="firstCol">
      <w:rPr>
        <w:b/>
        <w:color w:val="404040"/>
      </w:rPr>
    </w:tblStylePr>
    <w:tblStylePr w:type="lastCol">
      <w:rPr>
        <w:b/>
        <w:color w:val="404040"/>
      </w:rPr>
    </w:tblStylePr>
    <w:tblStylePr w:type="band1Vert">
      <w:tblPr/>
      <w:tcPr>
        <w:shd w:val="clear" w:color="FADECB" w:fill="FADECB"/>
      </w:tcPr>
    </w:tblStylePr>
    <w:tblStylePr w:type="band1Horz">
      <w:tblPr/>
      <w:tcPr>
        <w:shd w:val="clear" w:color="FADECB" w:fill="FADECB"/>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0" w:space="0" w:color="000000"/>
          <w:left w:val="none" w:sz="0" w:space="0" w:color="000000"/>
          <w:bottom w:val="single" w:sz="4" w:space="0" w:color="A5A5A5"/>
          <w:right w:val="none" w:sz="0" w:space="0" w:color="000000"/>
        </w:tcBorders>
      </w:tcPr>
    </w:tblStylePr>
    <w:tblStylePr w:type="lastRow">
      <w:rPr>
        <w:b/>
        <w:color w:val="404040"/>
      </w:rPr>
      <w:tblPr/>
      <w:tcPr>
        <w:tcBorders>
          <w:top w:val="single" w:sz="4" w:space="0" w:color="A5A5A5"/>
          <w:left w:val="none" w:sz="0" w:space="0" w:color="000000"/>
          <w:bottom w:val="none" w:sz="0" w:space="0" w:color="000000"/>
          <w:right w:val="none" w:sz="0" w:space="0" w:color="000000"/>
        </w:tcBorders>
      </w:tcPr>
    </w:tblStylePr>
    <w:tblStylePr w:type="firstCol">
      <w:rPr>
        <w:b/>
        <w:color w:val="404040"/>
      </w:rPr>
    </w:tblStylePr>
    <w:tblStylePr w:type="lastCol">
      <w:rPr>
        <w:b/>
        <w:color w:val="404040"/>
      </w:rPr>
    </w:tblStylePr>
    <w:tblStylePr w:type="band1Vert">
      <w:tblPr/>
      <w:tcPr>
        <w:shd w:val="clear" w:color="E8E8E8" w:fill="E8E8E8"/>
      </w:tcPr>
    </w:tblStylePr>
    <w:tblStylePr w:type="band1Horz">
      <w:tblPr/>
      <w:tcPr>
        <w:shd w:val="clear" w:color="E8E8E8" w:fill="E8E8E8"/>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0" w:space="0" w:color="000000"/>
          <w:left w:val="none" w:sz="0" w:space="0" w:color="000000"/>
          <w:bottom w:val="single" w:sz="4" w:space="0" w:color="FFC000"/>
          <w:right w:val="none" w:sz="0" w:space="0" w:color="000000"/>
        </w:tcBorders>
      </w:tcPr>
    </w:tblStylePr>
    <w:tblStylePr w:type="lastRow">
      <w:rPr>
        <w:b/>
        <w:color w:val="404040"/>
      </w:rPr>
      <w:tblPr/>
      <w:tcPr>
        <w:tcBorders>
          <w:top w:val="single" w:sz="4" w:space="0" w:color="FFC000"/>
          <w:left w:val="none" w:sz="0" w:space="0" w:color="000000"/>
          <w:bottom w:val="none" w:sz="0" w:space="0" w:color="000000"/>
          <w:right w:val="none" w:sz="0" w:space="0" w:color="000000"/>
        </w:tcBorders>
      </w:tcPr>
    </w:tblStylePr>
    <w:tblStylePr w:type="firstCol">
      <w:rPr>
        <w:b/>
        <w:color w:val="404040"/>
      </w:rPr>
    </w:tblStylePr>
    <w:tblStylePr w:type="lastCol">
      <w:rPr>
        <w:b/>
        <w:color w:val="404040"/>
      </w:rPr>
    </w:tblStylePr>
    <w:tblStylePr w:type="band1Vert">
      <w:tblPr/>
      <w:tcPr>
        <w:shd w:val="clear" w:color="FFEFBF" w:fill="FFEFBF"/>
      </w:tcPr>
    </w:tblStylePr>
    <w:tblStylePr w:type="band1Horz">
      <w:tblPr/>
      <w:tcPr>
        <w:shd w:val="clear" w:color="FFEFBF" w:fill="FFEFBF"/>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0" w:space="0" w:color="000000"/>
          <w:left w:val="none" w:sz="0" w:space="0" w:color="000000"/>
          <w:bottom w:val="single" w:sz="4" w:space="0" w:color="4472C4"/>
          <w:right w:val="none" w:sz="0" w:space="0" w:color="000000"/>
        </w:tcBorders>
      </w:tcPr>
    </w:tblStylePr>
    <w:tblStylePr w:type="lastRow">
      <w:rPr>
        <w:b/>
        <w:color w:val="404040"/>
      </w:rPr>
      <w:tblPr/>
      <w:tcPr>
        <w:tcBorders>
          <w:top w:val="single" w:sz="4" w:space="0" w:color="4472C4"/>
          <w:left w:val="none" w:sz="0" w:space="0" w:color="000000"/>
          <w:bottom w:val="none" w:sz="0" w:space="0" w:color="000000"/>
          <w:right w:val="none" w:sz="0" w:space="0" w:color="000000"/>
        </w:tcBorders>
      </w:tcPr>
    </w:tblStylePr>
    <w:tblStylePr w:type="firstCol">
      <w:rPr>
        <w:b/>
        <w:color w:val="404040"/>
      </w:rPr>
    </w:tblStylePr>
    <w:tblStylePr w:type="lastCol">
      <w:rPr>
        <w:b/>
        <w:color w:val="404040"/>
      </w:rPr>
    </w:tblStylePr>
    <w:tblStylePr w:type="band1Vert">
      <w:tblPr/>
      <w:tcPr>
        <w:shd w:val="clear" w:color="CFDBF0" w:fill="CFDBF0"/>
      </w:tcPr>
    </w:tblStylePr>
    <w:tblStylePr w:type="band1Horz">
      <w:tblPr/>
      <w:tcPr>
        <w:shd w:val="clear" w:color="CFDBF0" w:fill="CFDBF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0" w:space="0" w:color="000000"/>
          <w:left w:val="none" w:sz="0" w:space="0" w:color="000000"/>
          <w:bottom w:val="single" w:sz="4" w:space="0" w:color="70AD47"/>
          <w:right w:val="none" w:sz="0" w:space="0" w:color="000000"/>
        </w:tcBorders>
      </w:tcPr>
    </w:tblStylePr>
    <w:tblStylePr w:type="lastRow">
      <w:rPr>
        <w:b/>
        <w:color w:val="404040"/>
      </w:rPr>
      <w:tblPr/>
      <w:tcPr>
        <w:tcBorders>
          <w:top w:val="single" w:sz="4" w:space="0" w:color="70AD47"/>
          <w:left w:val="none" w:sz="0" w:space="0" w:color="000000"/>
          <w:bottom w:val="none" w:sz="0" w:space="0" w:color="000000"/>
          <w:right w:val="none" w:sz="0" w:space="0" w:color="000000"/>
        </w:tcBorders>
      </w:tcPr>
    </w:tblStylePr>
    <w:tblStylePr w:type="firstCol">
      <w:rPr>
        <w:b/>
        <w:color w:val="404040"/>
      </w:rPr>
    </w:tblStylePr>
    <w:tblStylePr w:type="lastCol">
      <w:rPr>
        <w:b/>
        <w:color w:val="404040"/>
      </w:rPr>
    </w:tblStylePr>
    <w:tblStylePr w:type="band1Vert">
      <w:tblPr/>
      <w:tcPr>
        <w:shd w:val="clear" w:color="DAEBCF" w:fill="DAEBCF"/>
      </w:tcPr>
    </w:tblStylePr>
    <w:tblStylePr w:type="band1Horz">
      <w:tblPr/>
      <w:tcPr>
        <w:shd w:val="clear" w:color="DAEBCF" w:fill="DAEBCF"/>
      </w:tcPr>
    </w:tblStylePr>
  </w:style>
  <w:style w:type="table" w:styleId="-20">
    <w:name w:val="List Table 2"/>
    <w:basedOn w:val="a1"/>
    <w:uiPriority w:val="99"/>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0" w:space="0" w:color="000000"/>
          <w:bottom w:val="single" w:sz="4" w:space="0" w:color="6F6F6F"/>
          <w:right w:val="none" w:sz="0" w:space="0" w:color="000000"/>
        </w:tcBorders>
      </w:tcPr>
    </w:tblStylePr>
    <w:tblStylePr w:type="lastRow">
      <w:rPr>
        <w:rFonts w:ascii="Arial" w:hAnsi="Arial"/>
        <w:b/>
        <w:color w:val="404040"/>
        <w:sz w:val="22"/>
      </w:rPr>
      <w:tblPr/>
      <w:tcPr>
        <w:tcBorders>
          <w:top w:val="single" w:sz="4" w:space="0" w:color="6F6F6F"/>
          <w:left w:val="none" w:sz="0" w:space="0" w:color="000000"/>
          <w:bottom w:val="single" w:sz="4" w:space="0" w:color="6F6F6F"/>
          <w:right w:val="none" w:sz="0"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
    <w:name w:val="List Table 2 - Accent 1"/>
    <w:basedOn w:val="a1"/>
    <w:uiPriority w:val="99"/>
    <w:tblPr>
      <w:tblStyleRowBandSize w:val="1"/>
      <w:tblStyleColBandSize w:val="1"/>
      <w:tblBorders>
        <w:top w:val="single" w:sz="4" w:space="0" w:color="A2C6E7"/>
        <w:bottom w:val="single" w:sz="4" w:space="0" w:color="A2C6E7"/>
        <w:insideH w:val="single" w:sz="4" w:space="0" w:color="A2C6E7"/>
      </w:tblBorders>
    </w:tblPr>
    <w:tblStylePr w:type="firstRow">
      <w:rPr>
        <w:rFonts w:ascii="Arial" w:hAnsi="Arial"/>
        <w:b/>
        <w:color w:val="404040"/>
        <w:sz w:val="22"/>
      </w:rPr>
      <w:tblPr/>
      <w:tcPr>
        <w:tcBorders>
          <w:top w:val="single" w:sz="4" w:space="0" w:color="A2C6E7"/>
          <w:left w:val="none" w:sz="0" w:space="0" w:color="000000"/>
          <w:bottom w:val="single" w:sz="4" w:space="0" w:color="A2C6E7"/>
          <w:right w:val="none" w:sz="0" w:space="0" w:color="000000"/>
        </w:tcBorders>
      </w:tcPr>
    </w:tblStylePr>
    <w:tblStylePr w:type="lastRow">
      <w:rPr>
        <w:rFonts w:ascii="Arial" w:hAnsi="Arial"/>
        <w:b/>
        <w:color w:val="404040"/>
        <w:sz w:val="22"/>
      </w:rPr>
      <w:tblPr/>
      <w:tcPr>
        <w:tcBorders>
          <w:top w:val="single" w:sz="4" w:space="0" w:color="A2C6E7"/>
          <w:left w:val="none" w:sz="0" w:space="0" w:color="000000"/>
          <w:bottom w:val="single" w:sz="4" w:space="0" w:color="A2C6E7"/>
          <w:right w:val="none" w:sz="0"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customStyle="1" w:styleId="ListTable2-Accent2">
    <w:name w:val="List Table 2 - Accent 2"/>
    <w:basedOn w:val="a1"/>
    <w:uiPriority w:val="99"/>
    <w:tblPr>
      <w:tblStyleRowBandSize w:val="1"/>
      <w:tblStyleColBandSize w:val="1"/>
      <w:tblBorders>
        <w:top w:val="single" w:sz="4" w:space="0" w:color="F4B58A"/>
        <w:bottom w:val="single" w:sz="4" w:space="0" w:color="F4B58A"/>
        <w:insideH w:val="single" w:sz="4" w:space="0" w:color="F4B58A"/>
      </w:tblBorders>
    </w:tblPr>
    <w:tblStylePr w:type="firstRow">
      <w:rPr>
        <w:rFonts w:ascii="Arial" w:hAnsi="Arial"/>
        <w:b/>
        <w:color w:val="404040"/>
        <w:sz w:val="22"/>
      </w:rPr>
      <w:tblPr/>
      <w:tcPr>
        <w:tcBorders>
          <w:top w:val="single" w:sz="4" w:space="0" w:color="F4B58A"/>
          <w:left w:val="none" w:sz="0" w:space="0" w:color="000000"/>
          <w:bottom w:val="single" w:sz="4" w:space="0" w:color="F4B58A"/>
          <w:right w:val="none" w:sz="0" w:space="0" w:color="000000"/>
        </w:tcBorders>
      </w:tcPr>
    </w:tblStylePr>
    <w:tblStylePr w:type="lastRow">
      <w:rPr>
        <w:rFonts w:ascii="Arial" w:hAnsi="Arial"/>
        <w:b/>
        <w:color w:val="404040"/>
        <w:sz w:val="22"/>
      </w:rPr>
      <w:tblPr/>
      <w:tcPr>
        <w:tcBorders>
          <w:top w:val="single" w:sz="4" w:space="0" w:color="F4B58A"/>
          <w:left w:val="none" w:sz="0" w:space="0" w:color="000000"/>
          <w:bottom w:val="single" w:sz="4" w:space="0" w:color="F4B58A"/>
          <w:right w:val="none" w:sz="0"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customStyle="1" w:styleId="ListTable2-Accent3">
    <w:name w:val="List Table 2 - Accent 3"/>
    <w:basedOn w:val="a1"/>
    <w:uiPriority w:val="99"/>
    <w:tblPr>
      <w:tblStyleRowBandSize w:val="1"/>
      <w:tblStyleColBandSize w:val="1"/>
      <w:tblBorders>
        <w:top w:val="single" w:sz="4" w:space="0" w:color="CCCCCC"/>
        <w:bottom w:val="single" w:sz="4" w:space="0" w:color="CCCCCC"/>
        <w:insideH w:val="single" w:sz="4" w:space="0" w:color="CCCCCC"/>
      </w:tblBorders>
    </w:tblPr>
    <w:tblStylePr w:type="firstRow">
      <w:rPr>
        <w:rFonts w:ascii="Arial" w:hAnsi="Arial"/>
        <w:b/>
        <w:color w:val="404040"/>
        <w:sz w:val="22"/>
      </w:rPr>
      <w:tblPr/>
      <w:tcPr>
        <w:tcBorders>
          <w:top w:val="single" w:sz="4" w:space="0" w:color="CCCCCC"/>
          <w:left w:val="none" w:sz="0" w:space="0" w:color="000000"/>
          <w:bottom w:val="single" w:sz="4" w:space="0" w:color="CCCCCC"/>
          <w:right w:val="none" w:sz="0" w:space="0" w:color="000000"/>
        </w:tcBorders>
      </w:tcPr>
    </w:tblStylePr>
    <w:tblStylePr w:type="lastRow">
      <w:rPr>
        <w:rFonts w:ascii="Arial" w:hAnsi="Arial"/>
        <w:b/>
        <w:color w:val="404040"/>
        <w:sz w:val="22"/>
      </w:rPr>
      <w:tblPr/>
      <w:tcPr>
        <w:tcBorders>
          <w:top w:val="single" w:sz="4" w:space="0" w:color="CCCCCC"/>
          <w:left w:val="none" w:sz="0" w:space="0" w:color="000000"/>
          <w:bottom w:val="single" w:sz="4" w:space="0" w:color="CCCCCC"/>
          <w:right w:val="none" w:sz="0"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customStyle="1" w:styleId="ListTable2-Accent4">
    <w:name w:val="List Table 2 - Accent 4"/>
    <w:basedOn w:val="a1"/>
    <w:uiPriority w:val="99"/>
    <w:tblPr>
      <w:tblStyleRowBandSize w:val="1"/>
      <w:tblStyleColBandSize w:val="1"/>
      <w:tblBorders>
        <w:top w:val="single" w:sz="4" w:space="0" w:color="FFDB6F"/>
        <w:bottom w:val="single" w:sz="4" w:space="0" w:color="FFDB6F"/>
        <w:insideH w:val="single" w:sz="4" w:space="0" w:color="FFDB6F"/>
      </w:tblBorders>
    </w:tblPr>
    <w:tblStylePr w:type="firstRow">
      <w:rPr>
        <w:rFonts w:ascii="Arial" w:hAnsi="Arial"/>
        <w:b/>
        <w:color w:val="404040"/>
        <w:sz w:val="22"/>
      </w:rPr>
      <w:tblPr/>
      <w:tcPr>
        <w:tcBorders>
          <w:top w:val="single" w:sz="4" w:space="0" w:color="FFDB6F"/>
          <w:left w:val="none" w:sz="0" w:space="0" w:color="000000"/>
          <w:bottom w:val="single" w:sz="4" w:space="0" w:color="FFDB6F"/>
          <w:right w:val="none" w:sz="0" w:space="0" w:color="000000"/>
        </w:tcBorders>
      </w:tcPr>
    </w:tblStylePr>
    <w:tblStylePr w:type="lastRow">
      <w:rPr>
        <w:rFonts w:ascii="Arial" w:hAnsi="Arial"/>
        <w:b/>
        <w:color w:val="404040"/>
        <w:sz w:val="22"/>
      </w:rPr>
      <w:tblPr/>
      <w:tcPr>
        <w:tcBorders>
          <w:top w:val="single" w:sz="4" w:space="0" w:color="FFDB6F"/>
          <w:left w:val="none" w:sz="0" w:space="0" w:color="000000"/>
          <w:bottom w:val="single" w:sz="4" w:space="0" w:color="FFDB6F"/>
          <w:right w:val="none" w:sz="0"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customStyle="1" w:styleId="ListTable2-Accent5">
    <w:name w:val="List Table 2 - Accent 5"/>
    <w:basedOn w:val="a1"/>
    <w:uiPriority w:val="99"/>
    <w:tblPr>
      <w:tblStyleRowBandSize w:val="1"/>
      <w:tblStyleColBandSize w:val="1"/>
      <w:tblBorders>
        <w:top w:val="single" w:sz="4" w:space="0" w:color="95AFDD"/>
        <w:bottom w:val="single" w:sz="4" w:space="0" w:color="95AFDD"/>
        <w:insideH w:val="single" w:sz="4" w:space="0" w:color="95AFDD"/>
      </w:tblBorders>
    </w:tblPr>
    <w:tblStylePr w:type="firstRow">
      <w:rPr>
        <w:rFonts w:ascii="Arial" w:hAnsi="Arial"/>
        <w:b/>
        <w:color w:val="404040"/>
        <w:sz w:val="22"/>
      </w:rPr>
      <w:tblPr/>
      <w:tcPr>
        <w:tcBorders>
          <w:top w:val="single" w:sz="4" w:space="0" w:color="95AFDD"/>
          <w:left w:val="none" w:sz="0" w:space="0" w:color="000000"/>
          <w:bottom w:val="single" w:sz="4" w:space="0" w:color="95AFDD"/>
          <w:right w:val="none" w:sz="0" w:space="0" w:color="000000"/>
        </w:tcBorders>
      </w:tcPr>
    </w:tblStylePr>
    <w:tblStylePr w:type="lastRow">
      <w:rPr>
        <w:rFonts w:ascii="Arial" w:hAnsi="Arial"/>
        <w:b/>
        <w:color w:val="404040"/>
        <w:sz w:val="22"/>
      </w:rPr>
      <w:tblPr/>
      <w:tcPr>
        <w:tcBorders>
          <w:top w:val="single" w:sz="4" w:space="0" w:color="95AFDD"/>
          <w:left w:val="none" w:sz="0" w:space="0" w:color="000000"/>
          <w:bottom w:val="single" w:sz="4" w:space="0" w:color="95AFDD"/>
          <w:right w:val="none" w:sz="0"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customStyle="1" w:styleId="ListTable2-Accent6">
    <w:name w:val="List Table 2 - Accent 6"/>
    <w:basedOn w:val="a1"/>
    <w:uiPriority w:val="99"/>
    <w:tblPr>
      <w:tblStyleRowBandSize w:val="1"/>
      <w:tblStyleColBandSize w:val="1"/>
      <w:tblBorders>
        <w:top w:val="single" w:sz="4" w:space="0" w:color="ADD394"/>
        <w:bottom w:val="single" w:sz="4" w:space="0" w:color="ADD394"/>
        <w:insideH w:val="single" w:sz="4" w:space="0" w:color="ADD394"/>
      </w:tblBorders>
    </w:tblPr>
    <w:tblStylePr w:type="firstRow">
      <w:rPr>
        <w:rFonts w:ascii="Arial" w:hAnsi="Arial"/>
        <w:b/>
        <w:color w:val="404040"/>
        <w:sz w:val="22"/>
      </w:rPr>
      <w:tblPr/>
      <w:tcPr>
        <w:tcBorders>
          <w:top w:val="single" w:sz="4" w:space="0" w:color="ADD394"/>
          <w:left w:val="none" w:sz="0" w:space="0" w:color="000000"/>
          <w:bottom w:val="single" w:sz="4" w:space="0" w:color="ADD394"/>
          <w:right w:val="none" w:sz="0" w:space="0" w:color="000000"/>
        </w:tcBorders>
      </w:tcPr>
    </w:tblStylePr>
    <w:tblStylePr w:type="lastRow">
      <w:rPr>
        <w:rFonts w:ascii="Arial" w:hAnsi="Arial"/>
        <w:b/>
        <w:color w:val="404040"/>
        <w:sz w:val="22"/>
      </w:rPr>
      <w:tblPr/>
      <w:tcPr>
        <w:tcBorders>
          <w:top w:val="single" w:sz="4" w:space="0" w:color="ADD394"/>
          <w:left w:val="none" w:sz="0" w:space="0" w:color="000000"/>
          <w:bottom w:val="single" w:sz="4" w:space="0" w:color="ADD394"/>
          <w:right w:val="none" w:sz="0"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styleId="-30">
    <w:name w:val="List Table 3"/>
    <w:basedOn w:val="a1"/>
    <w:uiPriority w:val="9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
    <w:name w:val="List Table 3 - Accent 1"/>
    <w:basedOn w:val="a1"/>
    <w:uiPriority w:val="99"/>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rFonts w:ascii="Arial" w:hAnsi="Arial"/>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right w:val="single" w:sz="4" w:space="0" w:color="5B9BD5"/>
        </w:tcBorders>
      </w:tcPr>
    </w:tblStylePr>
    <w:tblStylePr w:type="band1Horz">
      <w:rPr>
        <w:rFonts w:ascii="Arial" w:hAnsi="Arial"/>
        <w:color w:val="404040"/>
        <w:sz w:val="22"/>
      </w:rPr>
      <w:tblPr/>
      <w:tcPr>
        <w:tcBorders>
          <w:top w:val="single" w:sz="4" w:space="0" w:color="5B9BD5"/>
          <w:bottom w:val="single" w:sz="4" w:space="0" w:color="5B9BD5"/>
        </w:tcBorders>
      </w:tcPr>
    </w:tblStylePr>
  </w:style>
  <w:style w:type="table" w:customStyle="1" w:styleId="ListTable3-Accent2">
    <w:name w:val="List Table 3 - Accent 2"/>
    <w:basedOn w:val="a1"/>
    <w:uiPriority w:val="99"/>
    <w:tblPr>
      <w:tblStyleRowBandSize w:val="1"/>
      <w:tblStyleColBandSize w:val="1"/>
      <w:tblBorders>
        <w:top w:val="single" w:sz="4" w:space="0" w:color="F4B184"/>
        <w:left w:val="single" w:sz="4" w:space="0" w:color="F4B184"/>
        <w:bottom w:val="single" w:sz="4" w:space="0" w:color="F4B184"/>
        <w:right w:val="single" w:sz="4" w:space="0" w:color="F4B184"/>
      </w:tblBorders>
    </w:tblPr>
    <w:tblStylePr w:type="firstRow">
      <w:rPr>
        <w:rFonts w:ascii="Arial" w:hAnsi="Arial"/>
        <w:b/>
        <w:color w:val="FFFFFF"/>
        <w:sz w:val="22"/>
      </w:rPr>
      <w:tblPr/>
      <w:tcPr>
        <w:shd w:val="clear" w:color="F4B184" w:fill="F4B18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right w:val="single" w:sz="4" w:space="0" w:color="F4B184"/>
        </w:tcBorders>
      </w:tcPr>
    </w:tblStylePr>
    <w:tblStylePr w:type="band1Horz">
      <w:rPr>
        <w:rFonts w:ascii="Arial" w:hAnsi="Arial"/>
        <w:color w:val="404040"/>
        <w:sz w:val="22"/>
      </w:rPr>
      <w:tblPr/>
      <w:tcPr>
        <w:tcBorders>
          <w:top w:val="single" w:sz="4" w:space="0" w:color="F4B184"/>
          <w:bottom w:val="single" w:sz="4" w:space="0" w:color="F4B184"/>
        </w:tcBorders>
      </w:tcPr>
    </w:tblStylePr>
  </w:style>
  <w:style w:type="table" w:customStyle="1" w:styleId="ListTable3-Accent3">
    <w:name w:val="List Table 3 - Accent 3"/>
    <w:basedOn w:val="a1"/>
    <w:uiPriority w:val="99"/>
    <w:tblPr>
      <w:tblStyleRowBandSize w:val="1"/>
      <w:tblStyleColBandSize w:val="1"/>
      <w:tblBorders>
        <w:top w:val="single" w:sz="4" w:space="0" w:color="C9C9C9"/>
        <w:left w:val="single" w:sz="4" w:space="0" w:color="C9C9C9"/>
        <w:bottom w:val="single" w:sz="4" w:space="0" w:color="C9C9C9"/>
        <w:right w:val="single" w:sz="4" w:space="0" w:color="C9C9C9"/>
      </w:tblBorders>
    </w:tblPr>
    <w:tblStylePr w:type="firstRow">
      <w:rPr>
        <w:rFonts w:ascii="Arial" w:hAnsi="Arial"/>
        <w:b/>
        <w:color w:val="FFFFFF"/>
        <w:sz w:val="22"/>
      </w:rPr>
      <w:tblPr/>
      <w:tcPr>
        <w:shd w:val="clear" w:color="C9C9C9" w:fill="C9C9C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right w:val="single" w:sz="4" w:space="0" w:color="C9C9C9"/>
        </w:tcBorders>
      </w:tcPr>
    </w:tblStylePr>
    <w:tblStylePr w:type="band1Horz">
      <w:rPr>
        <w:rFonts w:ascii="Arial" w:hAnsi="Arial"/>
        <w:color w:val="404040"/>
        <w:sz w:val="22"/>
      </w:rPr>
      <w:tblPr/>
      <w:tcPr>
        <w:tcBorders>
          <w:top w:val="single" w:sz="4" w:space="0" w:color="C9C9C9"/>
          <w:bottom w:val="single" w:sz="4" w:space="0" w:color="C9C9C9"/>
        </w:tcBorders>
      </w:tcPr>
    </w:tblStylePr>
  </w:style>
  <w:style w:type="table" w:customStyle="1" w:styleId="ListTable3-Accent4">
    <w:name w:val="List Table 3 - Accent 4"/>
    <w:basedOn w:val="a1"/>
    <w:uiPriority w:val="99"/>
    <w:tblPr>
      <w:tblStyleRowBandSize w:val="1"/>
      <w:tblStyleColBandSize w:val="1"/>
      <w:tblBorders>
        <w:top w:val="single" w:sz="4" w:space="0" w:color="FFD865"/>
        <w:left w:val="single" w:sz="4" w:space="0" w:color="FFD865"/>
        <w:bottom w:val="single" w:sz="4" w:space="0" w:color="FFD865"/>
        <w:right w:val="single" w:sz="4" w:space="0" w:color="FFD865"/>
      </w:tblBorders>
    </w:tblPr>
    <w:tblStylePr w:type="firstRow">
      <w:rPr>
        <w:rFonts w:ascii="Arial" w:hAnsi="Arial"/>
        <w:b/>
        <w:color w:val="FFFFFF"/>
        <w:sz w:val="22"/>
      </w:rPr>
      <w:tblPr/>
      <w:tcPr>
        <w:shd w:val="clear" w:color="FFD865" w:fill="FFD86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right w:val="single" w:sz="4" w:space="0" w:color="FFD865"/>
        </w:tcBorders>
      </w:tcPr>
    </w:tblStylePr>
    <w:tblStylePr w:type="band1Horz">
      <w:rPr>
        <w:rFonts w:ascii="Arial" w:hAnsi="Arial"/>
        <w:color w:val="404040"/>
        <w:sz w:val="22"/>
      </w:rPr>
      <w:tblPr/>
      <w:tcPr>
        <w:tcBorders>
          <w:top w:val="single" w:sz="4" w:space="0" w:color="FFD865"/>
          <w:bottom w:val="single" w:sz="4" w:space="0" w:color="FFD865"/>
        </w:tcBorders>
      </w:tcPr>
    </w:tblStylePr>
  </w:style>
  <w:style w:type="table" w:customStyle="1" w:styleId="ListTable3-Accent5">
    <w:name w:val="List Table 3 - Accent 5"/>
    <w:basedOn w:val="a1"/>
    <w:uiPriority w:val="99"/>
    <w:tblPr>
      <w:tblStyleRowBandSize w:val="1"/>
      <w:tblStyleColBandSize w:val="1"/>
      <w:tblBorders>
        <w:top w:val="single" w:sz="4" w:space="0" w:color="8DA9DB"/>
        <w:left w:val="single" w:sz="4" w:space="0" w:color="8DA9DB"/>
        <w:bottom w:val="single" w:sz="4" w:space="0" w:color="8DA9DB"/>
        <w:right w:val="single" w:sz="4" w:space="0" w:color="8DA9DB"/>
      </w:tblBorders>
    </w:tblPr>
    <w:tblStylePr w:type="firstRow">
      <w:rPr>
        <w:rFonts w:ascii="Arial" w:hAnsi="Arial"/>
        <w:b/>
        <w:color w:val="FFFFFF"/>
        <w:sz w:val="22"/>
      </w:rPr>
      <w:tblPr/>
      <w:tcPr>
        <w:shd w:val="clear" w:color="8DA9DB" w:fill="8DA9D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right w:val="single" w:sz="4" w:space="0" w:color="8DA9DB"/>
        </w:tcBorders>
      </w:tcPr>
    </w:tblStylePr>
    <w:tblStylePr w:type="band1Horz">
      <w:rPr>
        <w:rFonts w:ascii="Arial" w:hAnsi="Arial"/>
        <w:color w:val="404040"/>
        <w:sz w:val="22"/>
      </w:rPr>
      <w:tblPr/>
      <w:tcPr>
        <w:tcBorders>
          <w:top w:val="single" w:sz="4" w:space="0" w:color="8DA9DB"/>
          <w:bottom w:val="single" w:sz="4" w:space="0" w:color="8DA9DB"/>
        </w:tcBorders>
      </w:tcPr>
    </w:tblStylePr>
  </w:style>
  <w:style w:type="table" w:customStyle="1" w:styleId="ListTable3-Accent6">
    <w:name w:val="List Table 3 - Accent 6"/>
    <w:basedOn w:val="a1"/>
    <w:uiPriority w:val="99"/>
    <w:tblPr>
      <w:tblStyleRowBandSize w:val="1"/>
      <w:tblStyleColBandSize w:val="1"/>
      <w:tblBorders>
        <w:top w:val="single" w:sz="4" w:space="0" w:color="A9D08E"/>
        <w:left w:val="single" w:sz="4" w:space="0" w:color="A9D08E"/>
        <w:bottom w:val="single" w:sz="4" w:space="0" w:color="A9D08E"/>
        <w:right w:val="single" w:sz="4" w:space="0" w:color="A9D08E"/>
      </w:tblBorders>
    </w:tblPr>
    <w:tblStylePr w:type="firstRow">
      <w:rPr>
        <w:rFonts w:ascii="Arial" w:hAnsi="Arial"/>
        <w:b/>
        <w:color w:val="FFFFFF"/>
        <w:sz w:val="22"/>
      </w:rPr>
      <w:tblPr/>
      <w:tcPr>
        <w:shd w:val="clear" w:color="A9D08E" w:fill="A9D08E"/>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right w:val="single" w:sz="4" w:space="0" w:color="A9D08E"/>
        </w:tcBorders>
      </w:tcPr>
    </w:tblStylePr>
    <w:tblStylePr w:type="band1Horz">
      <w:rPr>
        <w:rFonts w:ascii="Arial" w:hAnsi="Arial"/>
        <w:color w:val="404040"/>
        <w:sz w:val="22"/>
      </w:rPr>
      <w:tblPr/>
      <w:tcPr>
        <w:tcBorders>
          <w:top w:val="single" w:sz="4" w:space="0" w:color="A9D08E"/>
          <w:bottom w:val="single" w:sz="4" w:space="0" w:color="A9D08E"/>
        </w:tcBorders>
      </w:tcPr>
    </w:tblStylePr>
  </w:style>
  <w:style w:type="table" w:styleId="-40">
    <w:name w:val="List Table 4"/>
    <w:basedOn w:val="a1"/>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
    <w:name w:val="List Table 4 - Accent 1"/>
    <w:basedOn w:val="a1"/>
    <w:uiPriority w:val="99"/>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tblBorders>
    </w:tblPr>
    <w:tblStylePr w:type="firstRow">
      <w:rPr>
        <w:rFonts w:ascii="Arial" w:hAnsi="Arial"/>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customStyle="1" w:styleId="ListTable4-Accent2">
    <w:name w:val="List Table 4 - Accent 2"/>
    <w:basedOn w:val="a1"/>
    <w:uiPriority w:val="99"/>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tblBorders>
    </w:tblPr>
    <w:tblStylePr w:type="firstRow">
      <w:rPr>
        <w:rFonts w:ascii="Arial" w:hAnsi="Arial"/>
        <w:b/>
        <w:color w:val="FFFFFF"/>
        <w:sz w:val="22"/>
      </w:rPr>
      <w:tblPr/>
      <w:tcPr>
        <w:shd w:val="clear" w:color="ED7D31" w:fill="ED7D3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customStyle="1" w:styleId="ListTable4-Accent3">
    <w:name w:val="List Table 4 - Accent 3"/>
    <w:basedOn w:val="a1"/>
    <w:uiPriority w:val="99"/>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tblBorders>
    </w:tblPr>
    <w:tblStylePr w:type="firstRow">
      <w:rPr>
        <w:rFonts w:ascii="Arial" w:hAnsi="Arial"/>
        <w:b/>
        <w:color w:val="FFFFFF"/>
        <w:sz w:val="22"/>
      </w:rPr>
      <w:tblPr/>
      <w:tcPr>
        <w:shd w:val="clear" w:color="A5A5A5" w:fill="A5A5A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customStyle="1" w:styleId="ListTable4-Accent4">
    <w:name w:val="List Table 4 - Accent 4"/>
    <w:basedOn w:val="a1"/>
    <w:uiPriority w:val="99"/>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tblBorders>
    </w:tblPr>
    <w:tblStylePr w:type="firstRow">
      <w:rPr>
        <w:rFonts w:ascii="Arial" w:hAnsi="Arial"/>
        <w:b/>
        <w:color w:val="FFFFFF"/>
        <w:sz w:val="22"/>
      </w:rPr>
      <w:tblPr/>
      <w:tcPr>
        <w:shd w:val="clear" w:color="FFC000" w:fill="FFC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customStyle="1" w:styleId="ListTable4-Accent5">
    <w:name w:val="List Table 4 - Accent 5"/>
    <w:basedOn w:val="a1"/>
    <w:uiPriority w:val="99"/>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tblBorders>
    </w:tblPr>
    <w:tblStylePr w:type="firstRow">
      <w:rPr>
        <w:rFonts w:ascii="Arial" w:hAnsi="Arial"/>
        <w:b/>
        <w:color w:val="FFFFFF"/>
        <w:sz w:val="22"/>
      </w:rPr>
      <w:tblPr/>
      <w:tcPr>
        <w:shd w:val="clear" w:color="4472C4" w:fill="4472C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customStyle="1" w:styleId="ListTable4-Accent6">
    <w:name w:val="List Table 4 - Accent 6"/>
    <w:basedOn w:val="a1"/>
    <w:uiPriority w:val="99"/>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tblBorders>
    </w:tblPr>
    <w:tblStylePr w:type="firstRow">
      <w:rPr>
        <w:rFonts w:ascii="Arial" w:hAnsi="Arial"/>
        <w:b/>
        <w:color w:val="FFFFFF"/>
        <w:sz w:val="22"/>
      </w:rPr>
      <w:tblPr/>
      <w:tcPr>
        <w:shd w:val="clear" w:color="70AD47" w:fill="70AD4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styleId="-50">
    <w:name w:val="List Table 5 Dark"/>
    <w:basedOn w:val="a1"/>
    <w:uiPriority w:val="99"/>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
    <w:name w:val="List Table 5 Dark - Accent 1"/>
    <w:basedOn w:val="a1"/>
    <w:uiPriority w:val="99"/>
    <w:tblPr>
      <w:tblStyleRowBandSize w:val="1"/>
      <w:tblStyleColBandSize w:val="1"/>
      <w:tblBorders>
        <w:top w:val="single" w:sz="32" w:space="0" w:color="5B9BD5"/>
        <w:left w:val="single" w:sz="32" w:space="0" w:color="5B9BD5"/>
        <w:bottom w:val="single" w:sz="32" w:space="0" w:color="5B9BD5"/>
        <w:right w:val="single" w:sz="32" w:space="0" w:color="5B9BD5"/>
      </w:tblBorders>
      <w:shd w:val="clear" w:color="5B9BD5" w:fill="5B9BD5"/>
    </w:tblPr>
    <w:tblStylePr w:type="firstRow">
      <w:rPr>
        <w:rFonts w:ascii="Arial" w:hAnsi="Arial"/>
        <w:b/>
        <w:color w:val="FFFFFF"/>
        <w:sz w:val="22"/>
      </w:rPr>
      <w:tblPr/>
      <w:tcPr>
        <w:tcBorders>
          <w:top w:val="single" w:sz="32" w:space="0" w:color="5B9BD5"/>
          <w:bottom w:val="single" w:sz="12" w:space="0" w:color="FFFFFF"/>
        </w:tcBorders>
        <w:shd w:val="clear" w:color="5B9BD5" w:fill="5B9BD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5B9BD5"/>
          <w:right w:val="single" w:sz="4" w:space="0" w:color="FFFFFF"/>
        </w:tcBorders>
      </w:tcPr>
    </w:tblStylePr>
    <w:tblStylePr w:type="lastCol">
      <w:tblPr/>
      <w:tcPr>
        <w:tcBorders>
          <w:left w:val="single" w:sz="4" w:space="0" w:color="FFFFFF"/>
          <w:right w:val="single" w:sz="32" w:space="0" w:color="5B9BD5"/>
        </w:tcBorders>
      </w:tcPr>
    </w:tblStylePr>
    <w:tblStylePr w:type="band1Vert">
      <w:tblPr/>
      <w:tcPr>
        <w:tcBorders>
          <w:left w:val="single" w:sz="4" w:space="0" w:color="FFFFFF"/>
          <w:right w:val="single" w:sz="4" w:space="0" w:color="FFFFFF"/>
        </w:tcBorders>
        <w:shd w:val="clear" w:color="5B9BD5" w:fill="5B9BD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5B9BD5" w:fill="5B9BD5"/>
      </w:tcPr>
    </w:tblStylePr>
    <w:tblStylePr w:type="band2Horz">
      <w:tblPr/>
      <w:tcPr>
        <w:tcBorders>
          <w:top w:val="single" w:sz="4" w:space="0" w:color="FFFFFF"/>
          <w:bottom w:val="single" w:sz="4" w:space="0" w:color="FFFFFF"/>
        </w:tcBorders>
        <w:shd w:val="clear" w:color="5B9BD5" w:fill="5B9BD5"/>
      </w:tcPr>
    </w:tblStylePr>
  </w:style>
  <w:style w:type="table" w:customStyle="1" w:styleId="ListTable5Dark-Accent2">
    <w:name w:val="List Table 5 Dark - Accent 2"/>
    <w:basedOn w:val="a1"/>
    <w:uiPriority w:val="99"/>
    <w:tblPr>
      <w:tblStyleRowBandSize w:val="1"/>
      <w:tblStyleColBandSize w:val="1"/>
      <w:tblBorders>
        <w:top w:val="single" w:sz="32" w:space="0" w:color="F4B184"/>
        <w:left w:val="single" w:sz="32" w:space="0" w:color="F4B184"/>
        <w:bottom w:val="single" w:sz="32" w:space="0" w:color="F4B184"/>
        <w:right w:val="single" w:sz="32" w:space="0" w:color="F4B184"/>
      </w:tblBorders>
      <w:shd w:val="clear" w:color="F4B184" w:fill="F4B184"/>
    </w:tblPr>
    <w:tblStylePr w:type="firstRow">
      <w:rPr>
        <w:rFonts w:ascii="Arial" w:hAnsi="Arial"/>
        <w:b/>
        <w:color w:val="FFFFFF"/>
        <w:sz w:val="22"/>
      </w:rPr>
      <w:tblPr/>
      <w:tcPr>
        <w:tcBorders>
          <w:top w:val="single" w:sz="32" w:space="0" w:color="F4B184"/>
          <w:bottom w:val="single" w:sz="12" w:space="0" w:color="FFFFFF"/>
        </w:tcBorders>
        <w:shd w:val="clear" w:color="F4B184" w:fill="F4B184"/>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4B184"/>
          <w:right w:val="single" w:sz="4" w:space="0" w:color="FFFFFF"/>
        </w:tcBorders>
      </w:tcPr>
    </w:tblStylePr>
    <w:tblStylePr w:type="lastCol">
      <w:tblPr/>
      <w:tcPr>
        <w:tcBorders>
          <w:left w:val="single" w:sz="4" w:space="0" w:color="FFFFFF"/>
          <w:right w:val="single" w:sz="32" w:space="0" w:color="F4B184"/>
        </w:tcBorders>
      </w:tcPr>
    </w:tblStylePr>
    <w:tblStylePr w:type="band1Vert">
      <w:tblPr/>
      <w:tcPr>
        <w:tcBorders>
          <w:left w:val="single" w:sz="4" w:space="0" w:color="FFFFFF"/>
          <w:right w:val="single" w:sz="4" w:space="0" w:color="FFFFFF"/>
        </w:tcBorders>
        <w:shd w:val="clear" w:color="F4B184" w:fill="F4B18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4B184" w:fill="F4B184"/>
      </w:tcPr>
    </w:tblStylePr>
    <w:tblStylePr w:type="band2Horz">
      <w:tblPr/>
      <w:tcPr>
        <w:tcBorders>
          <w:top w:val="single" w:sz="4" w:space="0" w:color="FFFFFF"/>
          <w:bottom w:val="single" w:sz="4" w:space="0" w:color="FFFFFF"/>
        </w:tcBorders>
        <w:shd w:val="clear" w:color="F4B184" w:fill="F4B184"/>
      </w:tcPr>
    </w:tblStylePr>
  </w:style>
  <w:style w:type="table" w:customStyle="1" w:styleId="ListTable5Dark-Accent3">
    <w:name w:val="List Table 5 Dark - Accent 3"/>
    <w:basedOn w:val="a1"/>
    <w:uiPriority w:val="99"/>
    <w:tblPr>
      <w:tblStyleRowBandSize w:val="1"/>
      <w:tblStyleColBandSize w:val="1"/>
      <w:tblBorders>
        <w:top w:val="single" w:sz="32" w:space="0" w:color="C9C9C9"/>
        <w:left w:val="single" w:sz="32" w:space="0" w:color="C9C9C9"/>
        <w:bottom w:val="single" w:sz="32" w:space="0" w:color="C9C9C9"/>
        <w:right w:val="single" w:sz="32" w:space="0" w:color="C9C9C9"/>
      </w:tblBorders>
      <w:shd w:val="clear" w:color="C9C9C9" w:fill="C9C9C9"/>
    </w:tblPr>
    <w:tblStylePr w:type="firstRow">
      <w:rPr>
        <w:rFonts w:ascii="Arial" w:hAnsi="Arial"/>
        <w:b/>
        <w:color w:val="FFFFFF"/>
        <w:sz w:val="22"/>
      </w:rPr>
      <w:tblPr/>
      <w:tcPr>
        <w:tcBorders>
          <w:top w:val="single" w:sz="32" w:space="0" w:color="C9C9C9"/>
          <w:bottom w:val="single" w:sz="12" w:space="0" w:color="FFFFFF"/>
        </w:tcBorders>
        <w:shd w:val="clear" w:color="C9C9C9" w:fill="C9C9C9"/>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9C9C9"/>
          <w:right w:val="single" w:sz="4" w:space="0" w:color="FFFFFF"/>
        </w:tcBorders>
      </w:tcPr>
    </w:tblStylePr>
    <w:tblStylePr w:type="lastCol">
      <w:tblPr/>
      <w:tcPr>
        <w:tcBorders>
          <w:left w:val="single" w:sz="4" w:space="0" w:color="FFFFFF"/>
          <w:right w:val="single" w:sz="32" w:space="0" w:color="C9C9C9"/>
        </w:tcBorders>
      </w:tcPr>
    </w:tblStylePr>
    <w:tblStylePr w:type="band1Vert">
      <w:tblPr/>
      <w:tcPr>
        <w:tcBorders>
          <w:left w:val="single" w:sz="4" w:space="0" w:color="FFFFFF"/>
          <w:right w:val="single" w:sz="4" w:space="0" w:color="FFFFFF"/>
        </w:tcBorders>
        <w:shd w:val="clear" w:color="C9C9C9" w:fill="C9C9C9"/>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9C9C9" w:fill="C9C9C9"/>
      </w:tcPr>
    </w:tblStylePr>
    <w:tblStylePr w:type="band2Horz">
      <w:tblPr/>
      <w:tcPr>
        <w:tcBorders>
          <w:top w:val="single" w:sz="4" w:space="0" w:color="FFFFFF"/>
          <w:bottom w:val="single" w:sz="4" w:space="0" w:color="FFFFFF"/>
        </w:tcBorders>
        <w:shd w:val="clear" w:color="C9C9C9" w:fill="C9C9C9"/>
      </w:tcPr>
    </w:tblStylePr>
  </w:style>
  <w:style w:type="table" w:customStyle="1" w:styleId="ListTable5Dark-Accent4">
    <w:name w:val="List Table 5 Dark - Accent 4"/>
    <w:basedOn w:val="a1"/>
    <w:uiPriority w:val="99"/>
    <w:tblPr>
      <w:tblStyleRowBandSize w:val="1"/>
      <w:tblStyleColBandSize w:val="1"/>
      <w:tblBorders>
        <w:top w:val="single" w:sz="32" w:space="0" w:color="FFD865"/>
        <w:left w:val="single" w:sz="32" w:space="0" w:color="FFD865"/>
        <w:bottom w:val="single" w:sz="32" w:space="0" w:color="FFD865"/>
        <w:right w:val="single" w:sz="32" w:space="0" w:color="FFD865"/>
      </w:tblBorders>
      <w:shd w:val="clear" w:color="FFD865" w:fill="FFD865"/>
    </w:tblPr>
    <w:tblStylePr w:type="firstRow">
      <w:rPr>
        <w:rFonts w:ascii="Arial" w:hAnsi="Arial"/>
        <w:b/>
        <w:color w:val="FFFFFF"/>
        <w:sz w:val="22"/>
      </w:rPr>
      <w:tblPr/>
      <w:tcPr>
        <w:tcBorders>
          <w:top w:val="single" w:sz="32" w:space="0" w:color="FFD865"/>
          <w:bottom w:val="single" w:sz="12" w:space="0" w:color="FFFFFF"/>
        </w:tcBorders>
        <w:shd w:val="clear" w:color="FFD865" w:fill="FFD86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FD865"/>
          <w:right w:val="single" w:sz="4" w:space="0" w:color="FFFFFF"/>
        </w:tcBorders>
      </w:tcPr>
    </w:tblStylePr>
    <w:tblStylePr w:type="lastCol">
      <w:tblPr/>
      <w:tcPr>
        <w:tcBorders>
          <w:left w:val="single" w:sz="4" w:space="0" w:color="FFFFFF"/>
          <w:right w:val="single" w:sz="32" w:space="0" w:color="FFD865"/>
        </w:tcBorders>
      </w:tcPr>
    </w:tblStylePr>
    <w:tblStylePr w:type="band1Vert">
      <w:tblPr/>
      <w:tcPr>
        <w:tcBorders>
          <w:left w:val="single" w:sz="4" w:space="0" w:color="FFFFFF"/>
          <w:right w:val="single" w:sz="4" w:space="0" w:color="FFFFFF"/>
        </w:tcBorders>
        <w:shd w:val="clear" w:color="FFD865" w:fill="FFD86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FD865" w:fill="FFD865"/>
      </w:tcPr>
    </w:tblStylePr>
    <w:tblStylePr w:type="band2Horz">
      <w:tblPr/>
      <w:tcPr>
        <w:tcBorders>
          <w:top w:val="single" w:sz="4" w:space="0" w:color="FFFFFF"/>
          <w:bottom w:val="single" w:sz="4" w:space="0" w:color="FFFFFF"/>
        </w:tcBorders>
        <w:shd w:val="clear" w:color="FFD865" w:fill="FFD865"/>
      </w:tcPr>
    </w:tblStylePr>
  </w:style>
  <w:style w:type="table" w:customStyle="1" w:styleId="ListTable5Dark-Accent5">
    <w:name w:val="List Table 5 Dark - Accent 5"/>
    <w:basedOn w:val="a1"/>
    <w:uiPriority w:val="99"/>
    <w:tblPr>
      <w:tblStyleRowBandSize w:val="1"/>
      <w:tblStyleColBandSize w:val="1"/>
      <w:tblBorders>
        <w:top w:val="single" w:sz="32" w:space="0" w:color="8DA9DB"/>
        <w:left w:val="single" w:sz="32" w:space="0" w:color="8DA9DB"/>
        <w:bottom w:val="single" w:sz="32" w:space="0" w:color="8DA9DB"/>
        <w:right w:val="single" w:sz="32" w:space="0" w:color="8DA9DB"/>
      </w:tblBorders>
      <w:shd w:val="clear" w:color="8DA9DB" w:fill="8DA9DB"/>
    </w:tblPr>
    <w:tblStylePr w:type="firstRow">
      <w:rPr>
        <w:rFonts w:ascii="Arial" w:hAnsi="Arial"/>
        <w:b/>
        <w:color w:val="FFFFFF"/>
        <w:sz w:val="22"/>
      </w:rPr>
      <w:tblPr/>
      <w:tcPr>
        <w:tcBorders>
          <w:top w:val="single" w:sz="32" w:space="0" w:color="8DA9DB"/>
          <w:bottom w:val="single" w:sz="12" w:space="0" w:color="FFFFFF"/>
        </w:tcBorders>
        <w:shd w:val="clear" w:color="8DA9DB" w:fill="8DA9D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8DA9DB"/>
          <w:right w:val="single" w:sz="4" w:space="0" w:color="FFFFFF"/>
        </w:tcBorders>
      </w:tcPr>
    </w:tblStylePr>
    <w:tblStylePr w:type="lastCol">
      <w:tblPr/>
      <w:tcPr>
        <w:tcBorders>
          <w:left w:val="single" w:sz="4" w:space="0" w:color="FFFFFF"/>
          <w:right w:val="single" w:sz="32" w:space="0" w:color="8DA9DB"/>
        </w:tcBorders>
      </w:tcPr>
    </w:tblStylePr>
    <w:tblStylePr w:type="band1Vert">
      <w:tblPr/>
      <w:tcPr>
        <w:tcBorders>
          <w:left w:val="single" w:sz="4" w:space="0" w:color="FFFFFF"/>
          <w:right w:val="single" w:sz="4" w:space="0" w:color="FFFFFF"/>
        </w:tcBorders>
        <w:shd w:val="clear" w:color="8DA9DB" w:fill="8DA9D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8DA9DB" w:fill="8DA9DB"/>
      </w:tcPr>
    </w:tblStylePr>
    <w:tblStylePr w:type="band2Horz">
      <w:tblPr/>
      <w:tcPr>
        <w:tcBorders>
          <w:top w:val="single" w:sz="4" w:space="0" w:color="FFFFFF"/>
          <w:bottom w:val="single" w:sz="4" w:space="0" w:color="FFFFFF"/>
        </w:tcBorders>
        <w:shd w:val="clear" w:color="8DA9DB" w:fill="8DA9DB"/>
      </w:tcPr>
    </w:tblStylePr>
  </w:style>
  <w:style w:type="table" w:customStyle="1" w:styleId="ListTable5Dark-Accent6">
    <w:name w:val="List Table 5 Dark - Accent 6"/>
    <w:basedOn w:val="a1"/>
    <w:uiPriority w:val="99"/>
    <w:tblPr>
      <w:tblStyleRowBandSize w:val="1"/>
      <w:tblStyleColBandSize w:val="1"/>
      <w:tblBorders>
        <w:top w:val="single" w:sz="32" w:space="0" w:color="A9D08E"/>
        <w:left w:val="single" w:sz="32" w:space="0" w:color="A9D08E"/>
        <w:bottom w:val="single" w:sz="32" w:space="0" w:color="A9D08E"/>
        <w:right w:val="single" w:sz="32" w:space="0" w:color="A9D08E"/>
      </w:tblBorders>
      <w:shd w:val="clear" w:color="A9D08E" w:fill="A9D08E"/>
    </w:tblPr>
    <w:tblStylePr w:type="firstRow">
      <w:rPr>
        <w:rFonts w:ascii="Arial" w:hAnsi="Arial"/>
        <w:b/>
        <w:color w:val="FFFFFF"/>
        <w:sz w:val="22"/>
      </w:rPr>
      <w:tblPr/>
      <w:tcPr>
        <w:tcBorders>
          <w:top w:val="single" w:sz="32" w:space="0" w:color="A9D08E"/>
          <w:bottom w:val="single" w:sz="12" w:space="0" w:color="FFFFFF"/>
        </w:tcBorders>
        <w:shd w:val="clear" w:color="A9D08E" w:fill="A9D08E"/>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A9D08E"/>
          <w:right w:val="single" w:sz="4" w:space="0" w:color="FFFFFF"/>
        </w:tcBorders>
      </w:tcPr>
    </w:tblStylePr>
    <w:tblStylePr w:type="lastCol">
      <w:tblPr/>
      <w:tcPr>
        <w:tcBorders>
          <w:left w:val="single" w:sz="4" w:space="0" w:color="FFFFFF"/>
          <w:right w:val="single" w:sz="32" w:space="0" w:color="A9D08E"/>
        </w:tcBorders>
      </w:tcPr>
    </w:tblStylePr>
    <w:tblStylePr w:type="band1Vert">
      <w:tblPr/>
      <w:tcPr>
        <w:tcBorders>
          <w:left w:val="single" w:sz="4" w:space="0" w:color="FFFFFF"/>
          <w:right w:val="single" w:sz="4" w:space="0" w:color="FFFFFF"/>
        </w:tcBorders>
        <w:shd w:val="clear" w:color="A9D08E" w:fill="A9D08E"/>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9D08E" w:fill="A9D08E"/>
      </w:tcPr>
    </w:tblStylePr>
    <w:tblStylePr w:type="band2Horz">
      <w:tblPr/>
      <w:tcPr>
        <w:tcBorders>
          <w:top w:val="single" w:sz="4" w:space="0" w:color="FFFFFF"/>
          <w:bottom w:val="single" w:sz="4" w:space="0" w:color="FFFFFF"/>
        </w:tcBorders>
        <w:shd w:val="clear" w:color="A9D08E" w:fill="A9D08E"/>
      </w:tcPr>
    </w:tblStylePr>
  </w:style>
  <w:style w:type="table" w:styleId="-60">
    <w:name w:val="List Table 6 Colorful"/>
    <w:basedOn w:val="a1"/>
    <w:uiPriority w:val="99"/>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5B9BD5"/>
        <w:bottom w:val="single" w:sz="4" w:space="0" w:color="5B9BD5"/>
      </w:tblBorders>
    </w:tblPr>
    <w:tblStylePr w:type="firstRow">
      <w:rPr>
        <w:b/>
        <w:color w:val="245A8D"/>
      </w:rPr>
      <w:tblPr/>
      <w:tcPr>
        <w:tcBorders>
          <w:bottom w:val="single" w:sz="4" w:space="0" w:color="5B9BD5"/>
        </w:tcBorders>
      </w:tcPr>
    </w:tblStylePr>
    <w:tblStylePr w:type="lastRow">
      <w:rPr>
        <w:b/>
        <w:color w:val="245A8D"/>
      </w:rPr>
      <w:tblPr/>
      <w:tcPr>
        <w:tcBorders>
          <w:top w:val="single" w:sz="4" w:space="0" w:color="5B9BD5"/>
        </w:tcBorders>
      </w:tcPr>
    </w:tblStylePr>
    <w:tblStylePr w:type="firstCol">
      <w:rPr>
        <w:b/>
        <w:color w:val="245A8D"/>
      </w:rPr>
    </w:tblStylePr>
    <w:tblStylePr w:type="lastCol">
      <w:rPr>
        <w:b/>
        <w:color w:val="245A8D"/>
      </w:rPr>
    </w:tblStylePr>
    <w:tblStylePr w:type="band1Vert">
      <w:tblPr/>
      <w:tcPr>
        <w:shd w:val="clear" w:color="D5E5F4" w:fill="D5E5F4"/>
      </w:tcPr>
    </w:tblStylePr>
    <w:tblStylePr w:type="band1Horz">
      <w:rPr>
        <w:rFonts w:ascii="Arial" w:hAnsi="Arial"/>
        <w:color w:val="245A8D"/>
        <w:sz w:val="22"/>
      </w:rPr>
      <w:tblPr/>
      <w:tcPr>
        <w:shd w:val="clear" w:color="D5E5F4" w:fill="D5E5F4"/>
      </w:tcPr>
    </w:tblStylePr>
    <w:tblStylePr w:type="band2Horz">
      <w:rPr>
        <w:rFonts w:ascii="Arial" w:hAnsi="Arial"/>
        <w:color w:val="245A8D"/>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bottom w:val="single" w:sz="4" w:space="0" w:color="F4B184"/>
      </w:tblBorders>
    </w:tblPr>
    <w:tblStylePr w:type="firstRow">
      <w:rPr>
        <w:b/>
        <w:color w:val="F4B184"/>
      </w:rPr>
      <w:tblPr/>
      <w:tcPr>
        <w:tcBorders>
          <w:bottom w:val="single" w:sz="4" w:space="0" w:color="F4B184"/>
        </w:tcBorders>
      </w:tcPr>
    </w:tblStylePr>
    <w:tblStylePr w:type="lastRow">
      <w:rPr>
        <w:b/>
        <w:color w:val="F4B184"/>
      </w:rPr>
      <w:tblPr/>
      <w:tcPr>
        <w:tcBorders>
          <w:top w:val="single" w:sz="4" w:space="0" w:color="F4B184"/>
        </w:tcBorders>
      </w:tcPr>
    </w:tblStylePr>
    <w:tblStylePr w:type="firstCol">
      <w:rPr>
        <w:b/>
        <w:color w:val="F4B184"/>
      </w:rPr>
    </w:tblStylePr>
    <w:tblStylePr w:type="lastCol">
      <w:rPr>
        <w:b/>
        <w:color w:val="F4B184"/>
      </w:rPr>
    </w:tblStylePr>
    <w:tblStylePr w:type="band1Vert">
      <w:tblPr/>
      <w:tcPr>
        <w:shd w:val="clear" w:color="FADECB" w:fill="FADECB"/>
      </w:tcPr>
    </w:tblStylePr>
    <w:tblStylePr w:type="band1Horz">
      <w:rPr>
        <w:rFonts w:ascii="Arial" w:hAnsi="Arial"/>
        <w:color w:val="F4B184"/>
        <w:sz w:val="22"/>
      </w:rPr>
      <w:tblPr/>
      <w:tcPr>
        <w:shd w:val="clear" w:color="FADECB" w:fill="FADECB"/>
      </w:tcPr>
    </w:tblStylePr>
    <w:tblStylePr w:type="band2Horz">
      <w:rPr>
        <w:rFonts w:ascii="Arial" w:hAnsi="Arial"/>
        <w:color w:val="F4B184"/>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bottom w:val="single" w:sz="4" w:space="0" w:color="C9C9C9"/>
      </w:tblBorders>
    </w:tblPr>
    <w:tblStylePr w:type="firstRow">
      <w:rPr>
        <w:b/>
        <w:color w:val="C9C9C9"/>
      </w:rPr>
      <w:tblPr/>
      <w:tcPr>
        <w:tcBorders>
          <w:bottom w:val="single" w:sz="4" w:space="0" w:color="C9C9C9"/>
        </w:tcBorders>
      </w:tcPr>
    </w:tblStylePr>
    <w:tblStylePr w:type="lastRow">
      <w:rPr>
        <w:b/>
        <w:color w:val="C9C9C9"/>
      </w:rPr>
      <w:tblPr/>
      <w:tcPr>
        <w:tcBorders>
          <w:top w:val="single" w:sz="4" w:space="0" w:color="C9C9C9"/>
        </w:tcBorders>
      </w:tcPr>
    </w:tblStylePr>
    <w:tblStylePr w:type="firstCol">
      <w:rPr>
        <w:b/>
        <w:color w:val="C9C9C9"/>
      </w:rPr>
    </w:tblStylePr>
    <w:tblStylePr w:type="lastCol">
      <w:rPr>
        <w:b/>
        <w:color w:val="C9C9C9"/>
      </w:rPr>
    </w:tblStylePr>
    <w:tblStylePr w:type="band1Vert">
      <w:tblPr/>
      <w:tcPr>
        <w:shd w:val="clear" w:color="E8E8E8" w:fill="E8E8E8"/>
      </w:tcPr>
    </w:tblStylePr>
    <w:tblStylePr w:type="band1Horz">
      <w:rPr>
        <w:rFonts w:ascii="Arial" w:hAnsi="Arial"/>
        <w:color w:val="C9C9C9"/>
        <w:sz w:val="22"/>
      </w:rPr>
      <w:tblPr/>
      <w:tcPr>
        <w:shd w:val="clear" w:color="E8E8E8" w:fill="E8E8E8"/>
      </w:tcPr>
    </w:tblStylePr>
    <w:tblStylePr w:type="band2Horz">
      <w:rPr>
        <w:rFonts w:ascii="Arial" w:hAnsi="Arial"/>
        <w:color w:val="C9C9C9"/>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bottom w:val="single" w:sz="4" w:space="0" w:color="FFD865"/>
      </w:tblBorders>
    </w:tblPr>
    <w:tblStylePr w:type="firstRow">
      <w:rPr>
        <w:b/>
        <w:color w:val="FFD865"/>
      </w:rPr>
      <w:tblPr/>
      <w:tcPr>
        <w:tcBorders>
          <w:bottom w:val="single" w:sz="4" w:space="0" w:color="FFD865"/>
        </w:tcBorders>
      </w:tcPr>
    </w:tblStylePr>
    <w:tblStylePr w:type="lastRow">
      <w:rPr>
        <w:b/>
        <w:color w:val="FFD865"/>
      </w:rPr>
      <w:tblPr/>
      <w:tcPr>
        <w:tcBorders>
          <w:top w:val="single" w:sz="4" w:space="0" w:color="FFD865"/>
        </w:tcBorders>
      </w:tcPr>
    </w:tblStylePr>
    <w:tblStylePr w:type="firstCol">
      <w:rPr>
        <w:b/>
        <w:color w:val="FFD865"/>
      </w:rPr>
    </w:tblStylePr>
    <w:tblStylePr w:type="lastCol">
      <w:rPr>
        <w:b/>
        <w:color w:val="FFD865"/>
      </w:rPr>
    </w:tblStylePr>
    <w:tblStylePr w:type="band1Vert">
      <w:tblPr/>
      <w:tcPr>
        <w:shd w:val="clear" w:color="FFEFBF" w:fill="FFEFBF"/>
      </w:tcPr>
    </w:tblStylePr>
    <w:tblStylePr w:type="band1Horz">
      <w:rPr>
        <w:rFonts w:ascii="Arial" w:hAnsi="Arial"/>
        <w:color w:val="FFD865"/>
        <w:sz w:val="22"/>
      </w:rPr>
      <w:tblPr/>
      <w:tcPr>
        <w:shd w:val="clear" w:color="FFEFBF" w:fill="FFEFBF"/>
      </w:tcPr>
    </w:tblStylePr>
    <w:tblStylePr w:type="band2Horz">
      <w:rPr>
        <w:rFonts w:ascii="Arial" w:hAnsi="Arial"/>
        <w:color w:val="FFD86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8DA9DB"/>
        <w:bottom w:val="single" w:sz="4" w:space="0" w:color="8DA9DB"/>
      </w:tblBorders>
    </w:tblPr>
    <w:tblStylePr w:type="firstRow">
      <w:rPr>
        <w:b/>
        <w:color w:val="8DA9DB"/>
      </w:rPr>
      <w:tblPr/>
      <w:tcPr>
        <w:tcBorders>
          <w:bottom w:val="single" w:sz="4" w:space="0" w:color="8DA9DB"/>
        </w:tcBorders>
      </w:tcPr>
    </w:tblStylePr>
    <w:tblStylePr w:type="lastRow">
      <w:rPr>
        <w:b/>
        <w:color w:val="8DA9DB"/>
      </w:rPr>
      <w:tblPr/>
      <w:tcPr>
        <w:tcBorders>
          <w:top w:val="single" w:sz="4" w:space="0" w:color="8DA9DB"/>
        </w:tcBorders>
      </w:tcPr>
    </w:tblStylePr>
    <w:tblStylePr w:type="firstCol">
      <w:rPr>
        <w:b/>
        <w:color w:val="8DA9DB"/>
      </w:rPr>
    </w:tblStylePr>
    <w:tblStylePr w:type="lastCol">
      <w:rPr>
        <w:b/>
        <w:color w:val="8DA9DB"/>
      </w:rPr>
    </w:tblStylePr>
    <w:tblStylePr w:type="band1Vert">
      <w:tblPr/>
      <w:tcPr>
        <w:shd w:val="clear" w:color="CFDBF0" w:fill="CFDBF0"/>
      </w:tcPr>
    </w:tblStylePr>
    <w:tblStylePr w:type="band1Horz">
      <w:rPr>
        <w:rFonts w:ascii="Arial" w:hAnsi="Arial"/>
        <w:color w:val="8DA9DB"/>
        <w:sz w:val="22"/>
      </w:rPr>
      <w:tblPr/>
      <w:tcPr>
        <w:shd w:val="clear" w:color="CFDBF0" w:fill="CFDBF0"/>
      </w:tcPr>
    </w:tblStylePr>
    <w:tblStylePr w:type="band2Horz">
      <w:rPr>
        <w:rFonts w:ascii="Arial" w:hAnsi="Arial"/>
        <w:color w:val="8DA9DB"/>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bottom w:val="single" w:sz="4" w:space="0" w:color="A9D08E"/>
      </w:tblBorders>
    </w:tblPr>
    <w:tblStylePr w:type="firstRow">
      <w:rPr>
        <w:b/>
        <w:color w:val="A9D08E"/>
      </w:rPr>
      <w:tblPr/>
      <w:tcPr>
        <w:tcBorders>
          <w:bottom w:val="single" w:sz="4" w:space="0" w:color="A9D08E"/>
        </w:tcBorders>
      </w:tcPr>
    </w:tblStylePr>
    <w:tblStylePr w:type="lastRow">
      <w:rPr>
        <w:b/>
        <w:color w:val="A9D08E"/>
      </w:rPr>
      <w:tblPr/>
      <w:tcPr>
        <w:tcBorders>
          <w:top w:val="single" w:sz="4" w:space="0" w:color="A9D08E"/>
        </w:tcBorders>
      </w:tcPr>
    </w:tblStylePr>
    <w:tblStylePr w:type="firstCol">
      <w:rPr>
        <w:b/>
        <w:color w:val="A9D08E"/>
      </w:rPr>
    </w:tblStylePr>
    <w:tblStylePr w:type="lastCol">
      <w:rPr>
        <w:b/>
        <w:color w:val="A9D08E"/>
      </w:rPr>
    </w:tblStylePr>
    <w:tblStylePr w:type="band1Vert">
      <w:tblPr/>
      <w:tcPr>
        <w:shd w:val="clear" w:color="DAEBCF" w:fill="DAEBCF"/>
      </w:tcPr>
    </w:tblStylePr>
    <w:tblStylePr w:type="band1Horz">
      <w:rPr>
        <w:rFonts w:ascii="Arial" w:hAnsi="Arial"/>
        <w:color w:val="A9D08E"/>
        <w:sz w:val="22"/>
      </w:rPr>
      <w:tblPr/>
      <w:tcPr>
        <w:shd w:val="clear" w:color="DAEBCF" w:fill="DAEBCF"/>
      </w:tcPr>
    </w:tblStylePr>
    <w:tblStylePr w:type="band2Horz">
      <w:rPr>
        <w:rFonts w:ascii="Arial" w:hAnsi="Arial"/>
        <w:color w:val="A9D08E"/>
        <w:sz w:val="22"/>
      </w:rPr>
    </w:tblStylePr>
  </w:style>
  <w:style w:type="table" w:styleId="-70">
    <w:name w:val="List Table 7 Colorful"/>
    <w:basedOn w:val="a1"/>
    <w:uiPriority w:val="99"/>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000000"/>
          <w:left w:val="none" w:sz="0" w:space="0" w:color="000000"/>
          <w:bottom w:val="single" w:sz="4" w:space="0" w:color="7F7F7F"/>
          <w:right w:val="none" w:sz="0" w:space="0" w:color="000000"/>
        </w:tcBorders>
        <w:shd w:val="clear" w:color="FFFFFF" w:fill="FFFFFF"/>
      </w:tcPr>
    </w:tblStylePr>
    <w:tblStylePr w:type="lastRow">
      <w:rPr>
        <w:rFonts w:ascii="Arial" w:hAnsi="Arial"/>
        <w:i/>
        <w:color w:val="7F7F7F"/>
        <w:sz w:val="22"/>
      </w:rPr>
      <w:tblPr/>
      <w:tcPr>
        <w:tcBorders>
          <w:top w:val="single" w:sz="4" w:space="0" w:color="7F7F7F"/>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7F7F7F"/>
        <w:sz w:val="22"/>
      </w:rPr>
      <w:tblPr/>
      <w:tcPr>
        <w:tcBorders>
          <w:top w:val="none" w:sz="0" w:space="0" w:color="000000"/>
          <w:left w:val="none" w:sz="0" w:space="0" w:color="000000"/>
          <w:bottom w:val="none" w:sz="0" w:space="0" w:color="000000"/>
          <w:right w:val="single" w:sz="4" w:space="0" w:color="7F7F7F"/>
        </w:tcBorders>
        <w:shd w:val="clear" w:color="FFFFFF" w:fill="auto"/>
      </w:tcPr>
    </w:tblStylePr>
    <w:tblStylePr w:type="lastCol">
      <w:rPr>
        <w:rFonts w:ascii="Arial" w:hAnsi="Arial"/>
        <w:i/>
        <w:color w:val="7F7F7F"/>
        <w:sz w:val="22"/>
      </w:rPr>
      <w:tblPr/>
      <w:tcPr>
        <w:tcBorders>
          <w:top w:val="none" w:sz="0" w:space="0" w:color="000000"/>
          <w:left w:val="single" w:sz="4" w:space="0" w:color="7F7F7F"/>
          <w:bottom w:val="none" w:sz="0" w:space="0" w:color="000000"/>
          <w:right w:val="none" w:sz="0" w:space="0" w:color="000000"/>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5B9BD5"/>
      </w:tblBorders>
    </w:tblPr>
    <w:tblStylePr w:type="firstRow">
      <w:rPr>
        <w:rFonts w:ascii="Arial" w:hAnsi="Arial"/>
        <w:i/>
        <w:color w:val="245A8D"/>
        <w:sz w:val="22"/>
      </w:rPr>
      <w:tblPr/>
      <w:tcPr>
        <w:tcBorders>
          <w:top w:val="none" w:sz="0" w:space="0" w:color="000000"/>
          <w:left w:val="none" w:sz="0" w:space="0" w:color="000000"/>
          <w:bottom w:val="single" w:sz="4" w:space="0" w:color="5B9BD5"/>
          <w:right w:val="none" w:sz="0" w:space="0" w:color="000000"/>
        </w:tcBorders>
        <w:shd w:val="clear" w:color="FFFFFF" w:fill="FFFFFF"/>
      </w:tcPr>
    </w:tblStylePr>
    <w:tblStylePr w:type="lastRow">
      <w:rPr>
        <w:rFonts w:ascii="Arial" w:hAnsi="Arial"/>
        <w:i/>
        <w:color w:val="245A8D"/>
        <w:sz w:val="22"/>
      </w:rPr>
      <w:tblPr/>
      <w:tcPr>
        <w:tcBorders>
          <w:top w:val="single" w:sz="4" w:space="0" w:color="5B9BD5"/>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245A8D"/>
        <w:sz w:val="22"/>
      </w:rPr>
      <w:tblPr/>
      <w:tcPr>
        <w:tcBorders>
          <w:top w:val="none" w:sz="0" w:space="0" w:color="000000"/>
          <w:left w:val="none" w:sz="0" w:space="0" w:color="000000"/>
          <w:bottom w:val="none" w:sz="0" w:space="0" w:color="000000"/>
          <w:right w:val="single" w:sz="4" w:space="0" w:color="5B9BD5"/>
        </w:tcBorders>
        <w:shd w:val="clear" w:color="FFFFFF" w:fill="auto"/>
      </w:tcPr>
    </w:tblStylePr>
    <w:tblStylePr w:type="lastCol">
      <w:rPr>
        <w:rFonts w:ascii="Arial" w:hAnsi="Arial"/>
        <w:i/>
        <w:color w:val="245A8D"/>
        <w:sz w:val="22"/>
      </w:rPr>
      <w:tblPr/>
      <w:tcPr>
        <w:tcBorders>
          <w:top w:val="none" w:sz="0" w:space="0" w:color="000000"/>
          <w:left w:val="single" w:sz="4" w:space="0" w:color="5B9BD5"/>
          <w:bottom w:val="none" w:sz="0" w:space="0" w:color="000000"/>
          <w:right w:val="none" w:sz="0" w:space="0" w:color="000000"/>
        </w:tcBorders>
        <w:shd w:val="clear" w:color="FFFFFF" w:fill="auto"/>
      </w:tcPr>
    </w:tblStylePr>
    <w:tblStylePr w:type="band1Vert">
      <w:tblPr/>
      <w:tcPr>
        <w:shd w:val="clear" w:color="D5E5F4" w:fill="D5E5F4"/>
      </w:tcPr>
    </w:tblStylePr>
    <w:tblStylePr w:type="band1Horz">
      <w:rPr>
        <w:rFonts w:ascii="Arial" w:hAnsi="Arial"/>
        <w:color w:val="245A8D"/>
        <w:sz w:val="22"/>
      </w:rPr>
      <w:tblPr/>
      <w:tcPr>
        <w:shd w:val="clear" w:color="D5E5F4" w:fill="D5E5F4"/>
      </w:tcPr>
    </w:tblStylePr>
    <w:tblStylePr w:type="band2Horz">
      <w:rPr>
        <w:rFonts w:ascii="Arial" w:hAnsi="Arial"/>
        <w:color w:val="245A8D"/>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blBorders>
    </w:tblPr>
    <w:tblStylePr w:type="firstRow">
      <w:rPr>
        <w:rFonts w:ascii="Arial" w:hAnsi="Arial"/>
        <w:i/>
        <w:color w:val="F4B184"/>
        <w:sz w:val="22"/>
      </w:rPr>
      <w:tblPr/>
      <w:tcPr>
        <w:tcBorders>
          <w:top w:val="none" w:sz="0" w:space="0" w:color="000000"/>
          <w:left w:val="none" w:sz="0" w:space="0" w:color="000000"/>
          <w:bottom w:val="single" w:sz="4" w:space="0" w:color="F4B184"/>
          <w:right w:val="none" w:sz="0" w:space="0" w:color="000000"/>
        </w:tcBorders>
        <w:shd w:val="clear" w:color="FFFFFF" w:fill="FFFFFF"/>
      </w:tcPr>
    </w:tblStylePr>
    <w:tblStylePr w:type="lastRow">
      <w:rPr>
        <w:rFonts w:ascii="Arial" w:hAnsi="Arial"/>
        <w:i/>
        <w:color w:val="F4B184"/>
        <w:sz w:val="22"/>
      </w:rPr>
      <w:tblPr/>
      <w:tcPr>
        <w:tcBorders>
          <w:top w:val="single" w:sz="4" w:space="0" w:color="F4B184"/>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F4B184"/>
        <w:sz w:val="22"/>
      </w:rPr>
      <w:tblPr/>
      <w:tcPr>
        <w:tcBorders>
          <w:top w:val="none" w:sz="0" w:space="0" w:color="000000"/>
          <w:left w:val="none" w:sz="0" w:space="0" w:color="000000"/>
          <w:bottom w:val="none" w:sz="0" w:space="0" w:color="000000"/>
          <w:right w:val="single" w:sz="4" w:space="0" w:color="F4B184"/>
        </w:tcBorders>
        <w:shd w:val="clear" w:color="FFFFFF" w:fill="auto"/>
      </w:tcPr>
    </w:tblStylePr>
    <w:tblStylePr w:type="lastCol">
      <w:rPr>
        <w:rFonts w:ascii="Arial" w:hAnsi="Arial"/>
        <w:i/>
        <w:color w:val="F4B184"/>
        <w:sz w:val="22"/>
      </w:rPr>
      <w:tblPr/>
      <w:tcPr>
        <w:tcBorders>
          <w:top w:val="none" w:sz="0" w:space="0" w:color="000000"/>
          <w:left w:val="single" w:sz="4" w:space="0" w:color="F4B184"/>
          <w:bottom w:val="none" w:sz="0" w:space="0" w:color="000000"/>
          <w:right w:val="none" w:sz="0" w:space="0" w:color="000000"/>
        </w:tcBorders>
        <w:shd w:val="clear" w:color="FFFFFF" w:fill="auto"/>
      </w:tcPr>
    </w:tblStylePr>
    <w:tblStylePr w:type="band1Vert">
      <w:tblPr/>
      <w:tcPr>
        <w:shd w:val="clear" w:color="FADECB" w:fill="FADECB"/>
      </w:tcPr>
    </w:tblStylePr>
    <w:tblStylePr w:type="band1Horz">
      <w:rPr>
        <w:rFonts w:ascii="Arial" w:hAnsi="Arial"/>
        <w:color w:val="F4B184"/>
        <w:sz w:val="22"/>
      </w:rPr>
      <w:tblPr/>
      <w:tcPr>
        <w:shd w:val="clear" w:color="FADECB" w:fill="FADECB"/>
      </w:tcPr>
    </w:tblStylePr>
    <w:tblStylePr w:type="band2Horz">
      <w:rPr>
        <w:rFonts w:ascii="Arial" w:hAnsi="Arial"/>
        <w:color w:val="F4B184"/>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blBorders>
    </w:tblPr>
    <w:tblStylePr w:type="firstRow">
      <w:rPr>
        <w:rFonts w:ascii="Arial" w:hAnsi="Arial"/>
        <w:i/>
        <w:color w:val="C9C9C9"/>
        <w:sz w:val="22"/>
      </w:rPr>
      <w:tblPr/>
      <w:tcPr>
        <w:tcBorders>
          <w:top w:val="none" w:sz="0" w:space="0" w:color="000000"/>
          <w:left w:val="none" w:sz="0" w:space="0" w:color="000000"/>
          <w:bottom w:val="single" w:sz="4" w:space="0" w:color="C9C9C9"/>
          <w:right w:val="none" w:sz="0" w:space="0" w:color="000000"/>
        </w:tcBorders>
        <w:shd w:val="clear" w:color="FFFFFF" w:fill="FFFFFF"/>
      </w:tcPr>
    </w:tblStylePr>
    <w:tblStylePr w:type="lastRow">
      <w:rPr>
        <w:rFonts w:ascii="Arial" w:hAnsi="Arial"/>
        <w:i/>
        <w:color w:val="C9C9C9"/>
        <w:sz w:val="22"/>
      </w:rPr>
      <w:tblPr/>
      <w:tcPr>
        <w:tcBorders>
          <w:top w:val="single" w:sz="4" w:space="0" w:color="C9C9C9"/>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C9C9C9"/>
        <w:sz w:val="22"/>
      </w:rPr>
      <w:tblPr/>
      <w:tcPr>
        <w:tcBorders>
          <w:top w:val="none" w:sz="0" w:space="0" w:color="000000"/>
          <w:left w:val="none" w:sz="0" w:space="0" w:color="000000"/>
          <w:bottom w:val="none" w:sz="0" w:space="0" w:color="000000"/>
          <w:right w:val="single" w:sz="4" w:space="0" w:color="C9C9C9"/>
        </w:tcBorders>
        <w:shd w:val="clear" w:color="FFFFFF" w:fill="auto"/>
      </w:tcPr>
    </w:tblStylePr>
    <w:tblStylePr w:type="lastCol">
      <w:rPr>
        <w:rFonts w:ascii="Arial" w:hAnsi="Arial"/>
        <w:i/>
        <w:color w:val="C9C9C9"/>
        <w:sz w:val="22"/>
      </w:rPr>
      <w:tblPr/>
      <w:tcPr>
        <w:tcBorders>
          <w:top w:val="none" w:sz="0" w:space="0" w:color="000000"/>
          <w:left w:val="single" w:sz="4" w:space="0" w:color="C9C9C9"/>
          <w:bottom w:val="none" w:sz="0" w:space="0" w:color="000000"/>
          <w:right w:val="none" w:sz="0" w:space="0" w:color="000000"/>
        </w:tcBorders>
        <w:shd w:val="clear" w:color="FFFFFF" w:fill="auto"/>
      </w:tcPr>
    </w:tblStylePr>
    <w:tblStylePr w:type="band1Vert">
      <w:tblPr/>
      <w:tcPr>
        <w:shd w:val="clear" w:color="E8E8E8" w:fill="E8E8E8"/>
      </w:tcPr>
    </w:tblStylePr>
    <w:tblStylePr w:type="band1Horz">
      <w:rPr>
        <w:rFonts w:ascii="Arial" w:hAnsi="Arial"/>
        <w:color w:val="C9C9C9"/>
        <w:sz w:val="22"/>
      </w:rPr>
      <w:tblPr/>
      <w:tcPr>
        <w:shd w:val="clear" w:color="E8E8E8" w:fill="E8E8E8"/>
      </w:tcPr>
    </w:tblStylePr>
    <w:tblStylePr w:type="band2Horz">
      <w:rPr>
        <w:rFonts w:ascii="Arial" w:hAnsi="Arial"/>
        <w:color w:val="C9C9C9"/>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blBorders>
    </w:tblPr>
    <w:tblStylePr w:type="firstRow">
      <w:rPr>
        <w:rFonts w:ascii="Arial" w:hAnsi="Arial"/>
        <w:i/>
        <w:color w:val="FFD865"/>
        <w:sz w:val="22"/>
      </w:rPr>
      <w:tblPr/>
      <w:tcPr>
        <w:tcBorders>
          <w:top w:val="none" w:sz="0" w:space="0" w:color="000000"/>
          <w:left w:val="none" w:sz="0" w:space="0" w:color="000000"/>
          <w:bottom w:val="single" w:sz="4" w:space="0" w:color="FFD865"/>
          <w:right w:val="none" w:sz="0" w:space="0" w:color="000000"/>
        </w:tcBorders>
        <w:shd w:val="clear" w:color="FFFFFF" w:fill="FFFFFF"/>
      </w:tcPr>
    </w:tblStylePr>
    <w:tblStylePr w:type="lastRow">
      <w:rPr>
        <w:rFonts w:ascii="Arial" w:hAnsi="Arial"/>
        <w:i/>
        <w:color w:val="FFD865"/>
        <w:sz w:val="22"/>
      </w:rPr>
      <w:tblPr/>
      <w:tcPr>
        <w:tcBorders>
          <w:top w:val="single" w:sz="4" w:space="0" w:color="FFD865"/>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FFD865"/>
        <w:sz w:val="22"/>
      </w:rPr>
      <w:tblPr/>
      <w:tcPr>
        <w:tcBorders>
          <w:top w:val="none" w:sz="0" w:space="0" w:color="000000"/>
          <w:left w:val="none" w:sz="0" w:space="0" w:color="000000"/>
          <w:bottom w:val="none" w:sz="0" w:space="0" w:color="000000"/>
          <w:right w:val="single" w:sz="4" w:space="0" w:color="FFD865"/>
        </w:tcBorders>
        <w:shd w:val="clear" w:color="FFFFFF" w:fill="auto"/>
      </w:tcPr>
    </w:tblStylePr>
    <w:tblStylePr w:type="lastCol">
      <w:rPr>
        <w:rFonts w:ascii="Arial" w:hAnsi="Arial"/>
        <w:i/>
        <w:color w:val="FFD865"/>
        <w:sz w:val="22"/>
      </w:rPr>
      <w:tblPr/>
      <w:tcPr>
        <w:tcBorders>
          <w:top w:val="none" w:sz="0" w:space="0" w:color="000000"/>
          <w:left w:val="single" w:sz="4" w:space="0" w:color="FFD865"/>
          <w:bottom w:val="none" w:sz="0" w:space="0" w:color="000000"/>
          <w:right w:val="none" w:sz="0" w:space="0" w:color="000000"/>
        </w:tcBorders>
        <w:shd w:val="clear" w:color="FFFFFF" w:fill="auto"/>
      </w:tcPr>
    </w:tblStylePr>
    <w:tblStylePr w:type="band1Vert">
      <w:tblPr/>
      <w:tcPr>
        <w:shd w:val="clear" w:color="FFEFBF" w:fill="FFEFBF"/>
      </w:tcPr>
    </w:tblStylePr>
    <w:tblStylePr w:type="band1Horz">
      <w:rPr>
        <w:rFonts w:ascii="Arial" w:hAnsi="Arial"/>
        <w:color w:val="FFD865"/>
        <w:sz w:val="22"/>
      </w:rPr>
      <w:tblPr/>
      <w:tcPr>
        <w:shd w:val="clear" w:color="FFEFBF" w:fill="FFEFBF"/>
      </w:tcPr>
    </w:tblStylePr>
    <w:tblStylePr w:type="band2Horz">
      <w:rPr>
        <w:rFonts w:ascii="Arial" w:hAnsi="Arial"/>
        <w:color w:val="FFD86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8DA9DB"/>
      </w:tblBorders>
    </w:tblPr>
    <w:tblStylePr w:type="firstRow">
      <w:rPr>
        <w:rFonts w:ascii="Arial" w:hAnsi="Arial"/>
        <w:i/>
        <w:color w:val="8DA9DB"/>
        <w:sz w:val="22"/>
      </w:rPr>
      <w:tblPr/>
      <w:tcPr>
        <w:tcBorders>
          <w:top w:val="none" w:sz="0" w:space="0" w:color="000000"/>
          <w:left w:val="none" w:sz="0" w:space="0" w:color="000000"/>
          <w:bottom w:val="single" w:sz="4" w:space="0" w:color="8DA9DB"/>
          <w:right w:val="none" w:sz="0" w:space="0" w:color="000000"/>
        </w:tcBorders>
        <w:shd w:val="clear" w:color="FFFFFF" w:fill="FFFFFF"/>
      </w:tcPr>
    </w:tblStylePr>
    <w:tblStylePr w:type="lastRow">
      <w:rPr>
        <w:rFonts w:ascii="Arial" w:hAnsi="Arial"/>
        <w:i/>
        <w:color w:val="8DA9DB"/>
        <w:sz w:val="22"/>
      </w:rPr>
      <w:tblPr/>
      <w:tcPr>
        <w:tcBorders>
          <w:top w:val="single" w:sz="4" w:space="0" w:color="8DA9DB"/>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8DA9DB"/>
        <w:sz w:val="22"/>
      </w:rPr>
      <w:tblPr/>
      <w:tcPr>
        <w:tcBorders>
          <w:top w:val="none" w:sz="0" w:space="0" w:color="000000"/>
          <w:left w:val="none" w:sz="0" w:space="0" w:color="000000"/>
          <w:bottom w:val="none" w:sz="0" w:space="0" w:color="000000"/>
          <w:right w:val="single" w:sz="4" w:space="0" w:color="8DA9DB"/>
        </w:tcBorders>
        <w:shd w:val="clear" w:color="FFFFFF" w:fill="auto"/>
      </w:tcPr>
    </w:tblStylePr>
    <w:tblStylePr w:type="lastCol">
      <w:rPr>
        <w:rFonts w:ascii="Arial" w:hAnsi="Arial"/>
        <w:i/>
        <w:color w:val="8DA9DB"/>
        <w:sz w:val="22"/>
      </w:rPr>
      <w:tblPr/>
      <w:tcPr>
        <w:tcBorders>
          <w:top w:val="none" w:sz="0" w:space="0" w:color="000000"/>
          <w:left w:val="single" w:sz="4" w:space="0" w:color="8DA9DB"/>
          <w:bottom w:val="none" w:sz="0" w:space="0" w:color="000000"/>
          <w:right w:val="none" w:sz="0" w:space="0" w:color="000000"/>
        </w:tcBorders>
        <w:shd w:val="clear" w:color="FFFFFF" w:fill="auto"/>
      </w:tcPr>
    </w:tblStylePr>
    <w:tblStylePr w:type="band1Vert">
      <w:tblPr/>
      <w:tcPr>
        <w:shd w:val="clear" w:color="CFDBF0" w:fill="CFDBF0"/>
      </w:tcPr>
    </w:tblStylePr>
    <w:tblStylePr w:type="band1Horz">
      <w:rPr>
        <w:rFonts w:ascii="Arial" w:hAnsi="Arial"/>
        <w:color w:val="8DA9DB"/>
        <w:sz w:val="22"/>
      </w:rPr>
      <w:tblPr/>
      <w:tcPr>
        <w:shd w:val="clear" w:color="CFDBF0" w:fill="CFDBF0"/>
      </w:tcPr>
    </w:tblStylePr>
    <w:tblStylePr w:type="band2Horz">
      <w:rPr>
        <w:rFonts w:ascii="Arial" w:hAnsi="Arial"/>
        <w:color w:val="8DA9DB"/>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blBorders>
    </w:tblPr>
    <w:tblStylePr w:type="firstRow">
      <w:rPr>
        <w:rFonts w:ascii="Arial" w:hAnsi="Arial"/>
        <w:i/>
        <w:color w:val="A9D08E"/>
        <w:sz w:val="22"/>
      </w:rPr>
      <w:tblPr/>
      <w:tcPr>
        <w:tcBorders>
          <w:top w:val="none" w:sz="0" w:space="0" w:color="000000"/>
          <w:left w:val="none" w:sz="0" w:space="0" w:color="000000"/>
          <w:bottom w:val="single" w:sz="4" w:space="0" w:color="A9D08E"/>
          <w:right w:val="none" w:sz="0" w:space="0" w:color="000000"/>
        </w:tcBorders>
        <w:shd w:val="clear" w:color="FFFFFF" w:fill="FFFFFF"/>
      </w:tcPr>
    </w:tblStylePr>
    <w:tblStylePr w:type="lastRow">
      <w:rPr>
        <w:rFonts w:ascii="Arial" w:hAnsi="Arial"/>
        <w:i/>
        <w:color w:val="A9D08E"/>
        <w:sz w:val="22"/>
      </w:rPr>
      <w:tblPr/>
      <w:tcPr>
        <w:tcBorders>
          <w:top w:val="single" w:sz="4" w:space="0" w:color="A9D08E"/>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A9D08E"/>
        <w:sz w:val="22"/>
      </w:rPr>
      <w:tblPr/>
      <w:tcPr>
        <w:tcBorders>
          <w:top w:val="none" w:sz="0" w:space="0" w:color="000000"/>
          <w:left w:val="none" w:sz="0" w:space="0" w:color="000000"/>
          <w:bottom w:val="none" w:sz="0" w:space="0" w:color="000000"/>
          <w:right w:val="single" w:sz="4" w:space="0" w:color="A9D08E"/>
        </w:tcBorders>
        <w:shd w:val="clear" w:color="FFFFFF" w:fill="auto"/>
      </w:tcPr>
    </w:tblStylePr>
    <w:tblStylePr w:type="lastCol">
      <w:rPr>
        <w:rFonts w:ascii="Arial" w:hAnsi="Arial"/>
        <w:i/>
        <w:color w:val="A9D08E"/>
        <w:sz w:val="22"/>
      </w:rPr>
      <w:tblPr/>
      <w:tcPr>
        <w:tcBorders>
          <w:top w:val="none" w:sz="0" w:space="0" w:color="000000"/>
          <w:left w:val="single" w:sz="4" w:space="0" w:color="A9D08E"/>
          <w:bottom w:val="none" w:sz="0" w:space="0" w:color="000000"/>
          <w:right w:val="none" w:sz="0" w:space="0" w:color="000000"/>
        </w:tcBorders>
        <w:shd w:val="clear" w:color="FFFFFF" w:fill="auto"/>
      </w:tcPr>
    </w:tblStylePr>
    <w:tblStylePr w:type="band1Vert">
      <w:tblPr/>
      <w:tcPr>
        <w:shd w:val="clear" w:color="DAEBCF" w:fill="DAEBCF"/>
      </w:tcPr>
    </w:tblStylePr>
    <w:tblStylePr w:type="band1Horz">
      <w:rPr>
        <w:rFonts w:ascii="Arial" w:hAnsi="Arial"/>
        <w:color w:val="A9D08E"/>
        <w:sz w:val="22"/>
      </w:rPr>
      <w:tblPr/>
      <w:tcPr>
        <w:shd w:val="clear" w:color="DAEBCF" w:fill="DAEBCF"/>
      </w:tcPr>
    </w:tblStylePr>
    <w:tblStylePr w:type="band2Horz">
      <w:rPr>
        <w:rFonts w:ascii="Arial" w:hAnsi="Arial"/>
        <w:color w:val="A9D08E"/>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68A2D8" w:fill="68A2D8"/>
      </w:tcPr>
    </w:tblStylePr>
    <w:tblStylePr w:type="lastRow">
      <w:rPr>
        <w:rFonts w:ascii="Arial" w:hAnsi="Arial"/>
        <w:color w:val="F2F2F2"/>
        <w:sz w:val="22"/>
      </w:rPr>
      <w:tblPr/>
      <w:tcPr>
        <w:shd w:val="clear" w:color="68A2D8" w:fill="68A2D8"/>
      </w:tcPr>
    </w:tblStylePr>
    <w:tblStylePr w:type="firstCol">
      <w:rPr>
        <w:rFonts w:ascii="Arial" w:hAnsi="Arial"/>
        <w:color w:val="F2F2F2"/>
        <w:sz w:val="22"/>
      </w:rPr>
      <w:tblPr/>
      <w:tcPr>
        <w:shd w:val="clear" w:color="68A2D8" w:fill="68A2D8"/>
      </w:tcPr>
    </w:tblStylePr>
    <w:tblStylePr w:type="lastCol">
      <w:rPr>
        <w:rFonts w:ascii="Arial" w:hAnsi="Arial"/>
        <w:color w:val="F2F2F2"/>
        <w:sz w:val="22"/>
      </w:rPr>
      <w:tblPr/>
      <w:tcPr>
        <w:shd w:val="clear" w:color="68A2D8" w:fill="68A2D8"/>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472C4" w:fill="4472C4"/>
      </w:tcPr>
    </w:tblStylePr>
    <w:tblStylePr w:type="lastRow">
      <w:rPr>
        <w:rFonts w:ascii="Arial" w:hAnsi="Arial"/>
        <w:color w:val="F2F2F2"/>
        <w:sz w:val="22"/>
      </w:rPr>
      <w:tblPr/>
      <w:tcPr>
        <w:shd w:val="clear" w:color="4472C4" w:fill="4472C4"/>
      </w:tcPr>
    </w:tblStylePr>
    <w:tblStylePr w:type="firstCol">
      <w:rPr>
        <w:rFonts w:ascii="Arial" w:hAnsi="Arial"/>
        <w:color w:val="F2F2F2"/>
        <w:sz w:val="22"/>
      </w:rPr>
      <w:tblPr/>
      <w:tcPr>
        <w:shd w:val="clear" w:color="4472C4" w:fill="4472C4"/>
      </w:tcPr>
    </w:tblStylePr>
    <w:tblStylePr w:type="lastCol">
      <w:rPr>
        <w:rFonts w:ascii="Arial" w:hAnsi="Arial"/>
        <w:color w:val="F2F2F2"/>
        <w:sz w:val="22"/>
      </w:rPr>
      <w:tblPr/>
      <w:tcPr>
        <w:shd w:val="clear" w:color="4472C4" w:fill="4472C4"/>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45A8D"/>
        <w:left w:val="single" w:sz="4" w:space="0" w:color="245A8D"/>
        <w:bottom w:val="single" w:sz="4" w:space="0" w:color="245A8D"/>
        <w:right w:val="single" w:sz="4" w:space="0" w:color="245A8D"/>
        <w:insideH w:val="single" w:sz="4" w:space="0" w:color="245A8D"/>
        <w:insideV w:val="single" w:sz="4" w:space="0" w:color="245A8D"/>
      </w:tblBorders>
    </w:tblPr>
    <w:tblStylePr w:type="firstRow">
      <w:rPr>
        <w:rFonts w:ascii="Arial" w:hAnsi="Arial"/>
        <w:color w:val="F2F2F2"/>
        <w:sz w:val="22"/>
      </w:rPr>
      <w:tblPr/>
      <w:tcPr>
        <w:shd w:val="clear" w:color="68A2D8" w:fill="68A2D8"/>
      </w:tcPr>
    </w:tblStylePr>
    <w:tblStylePr w:type="lastRow">
      <w:rPr>
        <w:rFonts w:ascii="Arial" w:hAnsi="Arial"/>
        <w:color w:val="F2F2F2"/>
        <w:sz w:val="22"/>
      </w:rPr>
      <w:tblPr/>
      <w:tcPr>
        <w:shd w:val="clear" w:color="68A2D8" w:fill="68A2D8"/>
      </w:tcPr>
    </w:tblStylePr>
    <w:tblStylePr w:type="firstCol">
      <w:rPr>
        <w:rFonts w:ascii="Arial" w:hAnsi="Arial"/>
        <w:color w:val="F2F2F2"/>
        <w:sz w:val="22"/>
      </w:rPr>
      <w:tblPr/>
      <w:tcPr>
        <w:shd w:val="clear" w:color="68A2D8" w:fill="68A2D8"/>
      </w:tcPr>
    </w:tblStylePr>
    <w:tblStylePr w:type="lastCol">
      <w:rPr>
        <w:rFonts w:ascii="Arial" w:hAnsi="Arial"/>
        <w:color w:val="F2F2F2"/>
        <w:sz w:val="22"/>
      </w:rPr>
      <w:tblPr/>
      <w:tcPr>
        <w:shd w:val="clear" w:color="68A2D8" w:fill="68A2D8"/>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left w:val="single" w:sz="4" w:space="0" w:color="99460D"/>
        <w:bottom w:val="single" w:sz="4" w:space="0" w:color="99460D"/>
        <w:right w:val="single" w:sz="4" w:space="0" w:color="99460D"/>
        <w:insideH w:val="single" w:sz="4" w:space="0" w:color="99460D"/>
        <w:insideV w:val="single" w:sz="4" w:space="0" w:color="99460D"/>
      </w:tblBorders>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left w:val="single" w:sz="4" w:space="0" w:color="957000"/>
        <w:bottom w:val="single" w:sz="4" w:space="0" w:color="957000"/>
        <w:right w:val="single" w:sz="4" w:space="0" w:color="957000"/>
        <w:insideH w:val="single" w:sz="4" w:space="0" w:color="957000"/>
        <w:insideV w:val="single" w:sz="4" w:space="0" w:color="957000"/>
      </w:tblBorders>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54175"/>
        <w:left w:val="single" w:sz="4" w:space="0" w:color="254175"/>
        <w:bottom w:val="single" w:sz="4" w:space="0" w:color="254175"/>
        <w:right w:val="single" w:sz="4" w:space="0" w:color="254175"/>
        <w:insideH w:val="single" w:sz="4" w:space="0" w:color="254175"/>
        <w:insideV w:val="single" w:sz="4" w:space="0" w:color="254175"/>
      </w:tblBorders>
    </w:tblPr>
    <w:tblStylePr w:type="firstRow">
      <w:rPr>
        <w:rFonts w:ascii="Arial" w:hAnsi="Arial"/>
        <w:color w:val="F2F2F2"/>
        <w:sz w:val="22"/>
      </w:rPr>
      <w:tblPr/>
      <w:tcPr>
        <w:shd w:val="clear" w:color="4472C4" w:fill="4472C4"/>
      </w:tcPr>
    </w:tblStylePr>
    <w:tblStylePr w:type="lastRow">
      <w:rPr>
        <w:rFonts w:ascii="Arial" w:hAnsi="Arial"/>
        <w:color w:val="F2F2F2"/>
        <w:sz w:val="22"/>
      </w:rPr>
      <w:tblPr/>
      <w:tcPr>
        <w:shd w:val="clear" w:color="4472C4" w:fill="4472C4"/>
      </w:tcPr>
    </w:tblStylePr>
    <w:tblStylePr w:type="firstCol">
      <w:rPr>
        <w:rFonts w:ascii="Arial" w:hAnsi="Arial"/>
        <w:color w:val="F2F2F2"/>
        <w:sz w:val="22"/>
      </w:rPr>
      <w:tblPr/>
      <w:tcPr>
        <w:shd w:val="clear" w:color="4472C4" w:fill="4472C4"/>
      </w:tcPr>
    </w:tblStylePr>
    <w:tblStylePr w:type="lastCol">
      <w:rPr>
        <w:rFonts w:ascii="Arial" w:hAnsi="Arial"/>
        <w:color w:val="F2F2F2"/>
        <w:sz w:val="22"/>
      </w:rPr>
      <w:tblPr/>
      <w:tcPr>
        <w:shd w:val="clear" w:color="4472C4" w:fill="4472C4"/>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left w:val="single" w:sz="4" w:space="0" w:color="416429"/>
        <w:bottom w:val="single" w:sz="4" w:space="0" w:color="416429"/>
        <w:right w:val="single" w:sz="4" w:space="0" w:color="416429"/>
        <w:insideH w:val="single" w:sz="4" w:space="0" w:color="416429"/>
        <w:insideV w:val="single" w:sz="4" w:space="0" w:color="416429"/>
      </w:tblBorders>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
    <w:name w:val="Bordered"/>
    <w:basedOn w:val="a1"/>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a1"/>
    <w:uiPriority w:val="99"/>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rFonts w:ascii="Arial" w:hAnsi="Arial"/>
        <w:color w:val="404040"/>
        <w:sz w:val="22"/>
      </w:rPr>
      <w:tblPr/>
      <w:tcPr>
        <w:tcBorders>
          <w:bottom w:val="single" w:sz="12" w:space="0" w:color="5B9BD5"/>
        </w:tcBorders>
      </w:tcPr>
    </w:tblStylePr>
    <w:tblStylePr w:type="lastRow">
      <w:rPr>
        <w:rFonts w:ascii="Arial" w:hAnsi="Arial"/>
        <w:color w:val="404040"/>
        <w:sz w:val="22"/>
      </w:rPr>
      <w:tblPr/>
      <w:tcPr>
        <w:tcBorders>
          <w:top w:val="single" w:sz="12" w:space="0" w:color="5B9BD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cBorders>
      </w:tcPr>
    </w:tblStylePr>
    <w:tblStylePr w:type="band1Horz">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Bordered-Accent2">
    <w:name w:val="Bordered - Accent 2"/>
    <w:basedOn w:val="a1"/>
    <w:uiPriority w:val="99"/>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rFonts w:ascii="Arial" w:hAnsi="Arial"/>
        <w:color w:val="404040"/>
        <w:sz w:val="22"/>
      </w:rPr>
      <w:tblPr/>
      <w:tcPr>
        <w:tcBorders>
          <w:bottom w:val="single" w:sz="12" w:space="0" w:color="F4B184"/>
        </w:tcBorders>
      </w:tcPr>
    </w:tblStylePr>
    <w:tblStylePr w:type="lastRow">
      <w:rPr>
        <w:rFonts w:ascii="Arial" w:hAnsi="Arial"/>
        <w:color w:val="404040"/>
        <w:sz w:val="22"/>
      </w:rPr>
      <w:tblPr/>
      <w:tcPr>
        <w:tcBorders>
          <w:top w:val="single" w:sz="12" w:space="0" w:color="F4B184"/>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cBorders>
      </w:tcPr>
    </w:tblStylePr>
    <w:tblStylePr w:type="band1Horz">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Bordered-Accent3">
    <w:name w:val="Bordered - Accent 3"/>
    <w:basedOn w:val="a1"/>
    <w:uiPriority w:val="99"/>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rFonts w:ascii="Arial" w:hAnsi="Arial"/>
        <w:color w:val="404040"/>
        <w:sz w:val="22"/>
      </w:rPr>
      <w:tblPr/>
      <w:tcPr>
        <w:tcBorders>
          <w:bottom w:val="single" w:sz="12" w:space="0" w:color="C9C9C9"/>
        </w:tcBorders>
      </w:tcPr>
    </w:tblStylePr>
    <w:tblStylePr w:type="lastRow">
      <w:rPr>
        <w:rFonts w:ascii="Arial" w:hAnsi="Arial"/>
        <w:color w:val="404040"/>
        <w:sz w:val="22"/>
      </w:rPr>
      <w:tblPr/>
      <w:tcPr>
        <w:tcBorders>
          <w:top w:val="single" w:sz="12" w:space="0" w:color="C9C9C9"/>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cBorders>
      </w:tcPr>
    </w:tblStylePr>
    <w:tblStylePr w:type="band1Horz">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Bordered-Accent4">
    <w:name w:val="Bordered - Accent 4"/>
    <w:basedOn w:val="a1"/>
    <w:uiPriority w:val="99"/>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rFonts w:ascii="Arial" w:hAnsi="Arial"/>
        <w:color w:val="404040"/>
        <w:sz w:val="22"/>
      </w:rPr>
      <w:tblPr/>
      <w:tcPr>
        <w:tcBorders>
          <w:bottom w:val="single" w:sz="12" w:space="0" w:color="FFD865"/>
        </w:tcBorders>
      </w:tcPr>
    </w:tblStylePr>
    <w:tblStylePr w:type="lastRow">
      <w:rPr>
        <w:rFonts w:ascii="Arial" w:hAnsi="Arial"/>
        <w:color w:val="404040"/>
        <w:sz w:val="22"/>
      </w:rPr>
      <w:tblPr/>
      <w:tcPr>
        <w:tcBorders>
          <w:top w:val="single" w:sz="12" w:space="0" w:color="FFD86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cBorders>
      </w:tcPr>
    </w:tblStylePr>
    <w:tblStylePr w:type="band1Horz">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Bordered-Accent5">
    <w:name w:val="Bordered - Accent 5"/>
    <w:basedOn w:val="a1"/>
    <w:uiPriority w:val="99"/>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rFonts w:ascii="Arial" w:hAnsi="Arial"/>
        <w:color w:val="404040"/>
        <w:sz w:val="22"/>
      </w:rPr>
      <w:tblPr/>
      <w:tcPr>
        <w:tcBorders>
          <w:bottom w:val="single" w:sz="12" w:space="0" w:color="8DA9DB"/>
        </w:tcBorders>
      </w:tcPr>
    </w:tblStylePr>
    <w:tblStylePr w:type="lastRow">
      <w:rPr>
        <w:rFonts w:ascii="Arial" w:hAnsi="Arial"/>
        <w:color w:val="404040"/>
        <w:sz w:val="22"/>
      </w:rPr>
      <w:tblPr/>
      <w:tcPr>
        <w:tcBorders>
          <w:top w:val="single" w:sz="12" w:space="0" w:color="8DA9D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cBorders>
      </w:tcPr>
    </w:tblStylePr>
    <w:tblStylePr w:type="band1Horz">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Bordered-Accent6">
    <w:name w:val="Bordered - Accent 6"/>
    <w:basedOn w:val="a1"/>
    <w:uiPriority w:val="99"/>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rFonts w:ascii="Arial" w:hAnsi="Arial"/>
        <w:color w:val="404040"/>
        <w:sz w:val="22"/>
      </w:rPr>
      <w:tblPr/>
      <w:tcPr>
        <w:tcBorders>
          <w:bottom w:val="single" w:sz="12" w:space="0" w:color="A9D08E"/>
        </w:tcBorders>
      </w:tcPr>
    </w:tblStylePr>
    <w:tblStylePr w:type="lastRow">
      <w:rPr>
        <w:rFonts w:ascii="Arial" w:hAnsi="Arial"/>
        <w:color w:val="404040"/>
        <w:sz w:val="22"/>
      </w:rPr>
      <w:tblPr/>
      <w:tcPr>
        <w:tcBorders>
          <w:top w:val="single" w:sz="12" w:space="0" w:color="A9D08E"/>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cBorders>
      </w:tcPr>
    </w:tblStylePr>
    <w:tblStylePr w:type="band1Horz">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paragraph" w:styleId="a8">
    <w:name w:val="footnote text"/>
    <w:basedOn w:val="a"/>
    <w:link w:val="a9"/>
    <w:uiPriority w:val="99"/>
    <w:semiHidden/>
    <w:unhideWhenUsed/>
    <w:pPr>
      <w:spacing w:after="40"/>
    </w:pPr>
    <w:rPr>
      <w:sz w:val="18"/>
    </w:rPr>
  </w:style>
  <w:style w:type="character" w:customStyle="1" w:styleId="a9">
    <w:name w:val="Текст сноски Знак"/>
    <w:link w:val="a8"/>
    <w:uiPriority w:val="99"/>
    <w:rPr>
      <w:sz w:val="18"/>
    </w:rPr>
  </w:style>
  <w:style w:type="character" w:customStyle="1" w:styleId="EndnoteTextChar">
    <w:name w:val="Endnote Text Char"/>
    <w:uiPriority w:val="99"/>
    <w:rPr>
      <w:sz w:val="20"/>
    </w:rPr>
  </w:style>
  <w:style w:type="paragraph" w:styleId="aa">
    <w:name w:val="TOC Heading"/>
    <w:uiPriority w:val="39"/>
    <w:unhideWhenUsed/>
    <w:rPr>
      <w:color w:val="000000"/>
    </w:rPr>
  </w:style>
  <w:style w:type="paragraph" w:styleId="ab">
    <w:name w:val="table of figures"/>
    <w:basedOn w:val="a"/>
    <w:next w:val="a"/>
    <w:uiPriority w:val="99"/>
    <w:unhideWhenUsed/>
  </w:style>
  <w:style w:type="character" w:customStyle="1" w:styleId="12">
    <w:name w:val="Обычный1"/>
    <w:rPr>
      <w:rFonts w:ascii="Times New Roman" w:hAnsi="Times New Roman"/>
      <w:sz w:val="24"/>
    </w:rPr>
  </w:style>
  <w:style w:type="paragraph" w:styleId="24">
    <w:name w:val="toc 2"/>
    <w:next w:val="a"/>
    <w:link w:val="25"/>
    <w:uiPriority w:val="39"/>
    <w:pPr>
      <w:ind w:left="200"/>
    </w:pPr>
    <w:rPr>
      <w:rFonts w:ascii="XO Thames" w:hAnsi="XO Thames"/>
      <w:color w:val="000000"/>
      <w:sz w:val="28"/>
    </w:rPr>
  </w:style>
  <w:style w:type="character" w:customStyle="1" w:styleId="25">
    <w:name w:val="Оглавление 2 Знак"/>
    <w:link w:val="24"/>
    <w:rPr>
      <w:rFonts w:ascii="XO Thames" w:hAnsi="XO Thames"/>
      <w:sz w:val="28"/>
    </w:rPr>
  </w:style>
  <w:style w:type="paragraph" w:styleId="42">
    <w:name w:val="toc 4"/>
    <w:next w:val="a"/>
    <w:link w:val="43"/>
    <w:uiPriority w:val="39"/>
    <w:pPr>
      <w:ind w:left="600"/>
    </w:pPr>
    <w:rPr>
      <w:rFonts w:ascii="XO Thames" w:hAnsi="XO Thames"/>
      <w:color w:val="000000"/>
      <w:sz w:val="28"/>
    </w:rPr>
  </w:style>
  <w:style w:type="character" w:customStyle="1" w:styleId="43">
    <w:name w:val="Оглавление 4 Знак"/>
    <w:link w:val="42"/>
    <w:rPr>
      <w:rFonts w:ascii="XO Thames" w:hAnsi="XO Thames"/>
      <w:sz w:val="28"/>
    </w:rPr>
  </w:style>
  <w:style w:type="paragraph" w:styleId="61">
    <w:name w:val="toc 6"/>
    <w:next w:val="a"/>
    <w:link w:val="62"/>
    <w:uiPriority w:val="39"/>
    <w:pPr>
      <w:ind w:left="1000"/>
    </w:pPr>
    <w:rPr>
      <w:rFonts w:ascii="XO Thames" w:hAnsi="XO Thames"/>
      <w:color w:val="000000"/>
      <w:sz w:val="28"/>
    </w:rPr>
  </w:style>
  <w:style w:type="character" w:customStyle="1" w:styleId="62">
    <w:name w:val="Оглавление 6 Знак"/>
    <w:link w:val="61"/>
    <w:rPr>
      <w:rFonts w:ascii="XO Thames" w:hAnsi="XO Thames"/>
      <w:sz w:val="28"/>
    </w:rPr>
  </w:style>
  <w:style w:type="paragraph" w:styleId="71">
    <w:name w:val="toc 7"/>
    <w:next w:val="a"/>
    <w:link w:val="72"/>
    <w:uiPriority w:val="39"/>
    <w:pPr>
      <w:ind w:left="1200"/>
    </w:pPr>
    <w:rPr>
      <w:rFonts w:ascii="XO Thames" w:hAnsi="XO Thames"/>
      <w:color w:val="000000"/>
      <w:sz w:val="28"/>
    </w:rPr>
  </w:style>
  <w:style w:type="character" w:customStyle="1" w:styleId="72">
    <w:name w:val="Оглавление 7 Знак"/>
    <w:link w:val="71"/>
    <w:rPr>
      <w:rFonts w:ascii="XO Thames" w:hAnsi="XO Thames"/>
      <w:sz w:val="28"/>
    </w:rPr>
  </w:style>
  <w:style w:type="paragraph" w:styleId="ac">
    <w:name w:val="Plain Text"/>
    <w:basedOn w:val="a"/>
    <w:link w:val="ad"/>
    <w:rPr>
      <w:rFonts w:ascii="Courier New" w:hAnsi="Courier New"/>
      <w:sz w:val="20"/>
    </w:rPr>
  </w:style>
  <w:style w:type="character" w:customStyle="1" w:styleId="ad">
    <w:name w:val="Текст Знак"/>
    <w:link w:val="ac"/>
    <w:rPr>
      <w:rFonts w:ascii="Courier New" w:hAnsi="Courier New"/>
      <w:sz w:val="20"/>
    </w:rPr>
  </w:style>
  <w:style w:type="character" w:customStyle="1" w:styleId="30">
    <w:name w:val="Заголовок 3 Знак"/>
    <w:link w:val="3"/>
    <w:rPr>
      <w:rFonts w:ascii="Arial" w:hAnsi="Arial"/>
      <w:b/>
      <w:sz w:val="24"/>
    </w:rPr>
  </w:style>
  <w:style w:type="paragraph" w:styleId="ae">
    <w:name w:val="endnote text"/>
    <w:basedOn w:val="a"/>
    <w:link w:val="af"/>
    <w:rPr>
      <w:sz w:val="20"/>
    </w:rPr>
  </w:style>
  <w:style w:type="character" w:customStyle="1" w:styleId="af">
    <w:name w:val="Текст концевой сноски Знак"/>
    <w:link w:val="ae"/>
    <w:rPr>
      <w:rFonts w:ascii="Times New Roman" w:hAnsi="Times New Roman"/>
      <w:sz w:val="20"/>
    </w:rPr>
  </w:style>
  <w:style w:type="paragraph" w:customStyle="1" w:styleId="ConsNonformat">
    <w:name w:val="ConsNonformat"/>
    <w:link w:val="ConsNonformat0"/>
    <w:pPr>
      <w:widowControl w:val="0"/>
    </w:pPr>
    <w:rPr>
      <w:rFonts w:ascii="Courier New" w:hAnsi="Courier New"/>
      <w:color w:val="000000"/>
    </w:rPr>
  </w:style>
  <w:style w:type="character" w:customStyle="1" w:styleId="ConsNonformat0">
    <w:name w:val="ConsNonformat_0"/>
    <w:link w:val="ConsNonformat"/>
    <w:rPr>
      <w:rFonts w:ascii="Courier New" w:hAnsi="Courier New"/>
    </w:rPr>
  </w:style>
  <w:style w:type="paragraph" w:styleId="32">
    <w:name w:val="toc 3"/>
    <w:next w:val="a"/>
    <w:link w:val="33"/>
    <w:uiPriority w:val="39"/>
    <w:pPr>
      <w:ind w:left="400"/>
    </w:pPr>
    <w:rPr>
      <w:rFonts w:ascii="XO Thames" w:hAnsi="XO Thames"/>
      <w:color w:val="000000"/>
      <w:sz w:val="28"/>
    </w:rPr>
  </w:style>
  <w:style w:type="character" w:customStyle="1" w:styleId="33">
    <w:name w:val="Оглавление 3 Знак"/>
    <w:link w:val="32"/>
    <w:rPr>
      <w:rFonts w:ascii="XO Thames" w:hAnsi="XO Thames"/>
      <w:sz w:val="28"/>
    </w:rPr>
  </w:style>
  <w:style w:type="paragraph" w:styleId="af0">
    <w:name w:val="List Paragraph"/>
    <w:basedOn w:val="a"/>
    <w:link w:val="af1"/>
    <w:pPr>
      <w:ind w:left="720" w:firstLine="709"/>
      <w:contextualSpacing/>
      <w:jc w:val="both"/>
    </w:pPr>
    <w:rPr>
      <w:rFonts w:ascii="Calibri" w:hAnsi="Calibri"/>
      <w:sz w:val="20"/>
    </w:rPr>
  </w:style>
  <w:style w:type="character" w:customStyle="1" w:styleId="af1">
    <w:name w:val="Абзац списка Знак"/>
    <w:link w:val="af0"/>
    <w:rPr>
      <w:rFonts w:ascii="Calibri" w:hAnsi="Calibri"/>
      <w:sz w:val="20"/>
    </w:rPr>
  </w:style>
  <w:style w:type="paragraph" w:styleId="af2">
    <w:name w:val="header"/>
    <w:basedOn w:val="a"/>
    <w:link w:val="af3"/>
    <w:pPr>
      <w:tabs>
        <w:tab w:val="center" w:pos="4153"/>
        <w:tab w:val="right" w:pos="8306"/>
      </w:tabs>
      <w:spacing w:before="120" w:after="120"/>
      <w:jc w:val="both"/>
    </w:pPr>
    <w:rPr>
      <w:rFonts w:ascii="Arial" w:hAnsi="Arial"/>
    </w:rPr>
  </w:style>
  <w:style w:type="character" w:customStyle="1" w:styleId="af3">
    <w:name w:val="Верхний колонтитул Знак"/>
    <w:link w:val="af2"/>
    <w:rPr>
      <w:rFonts w:ascii="Arial" w:hAnsi="Arial"/>
      <w:sz w:val="24"/>
    </w:rPr>
  </w:style>
  <w:style w:type="paragraph" w:customStyle="1" w:styleId="13">
    <w:name w:val="Основной шрифт абзаца1"/>
    <w:rPr>
      <w:color w:val="000000"/>
    </w:rPr>
  </w:style>
  <w:style w:type="paragraph" w:customStyle="1" w:styleId="apple-converted-space">
    <w:name w:val="apple-converted-space"/>
    <w:link w:val="apple-converted-space0"/>
    <w:rPr>
      <w:color w:val="000000"/>
    </w:rPr>
  </w:style>
  <w:style w:type="character" w:customStyle="1" w:styleId="apple-converted-space0">
    <w:name w:val="apple-converted-space_0"/>
    <w:link w:val="apple-converted-space"/>
  </w:style>
  <w:style w:type="character" w:customStyle="1" w:styleId="50">
    <w:name w:val="Заголовок 5 Знак"/>
    <w:link w:val="5"/>
    <w:rPr>
      <w:rFonts w:ascii="XO Thames" w:hAnsi="XO Thames"/>
      <w:b/>
      <w:sz w:val="22"/>
    </w:rPr>
  </w:style>
  <w:style w:type="character" w:customStyle="1" w:styleId="10">
    <w:name w:val="Заголовок 1 Знак"/>
    <w:link w:val="1"/>
    <w:rPr>
      <w:rFonts w:ascii="XO Thames" w:hAnsi="XO Thames"/>
      <w:b/>
      <w:sz w:val="32"/>
    </w:rPr>
  </w:style>
  <w:style w:type="paragraph" w:customStyle="1" w:styleId="14">
    <w:name w:val="Гиперссылка1"/>
    <w:link w:val="af4"/>
    <w:rPr>
      <w:color w:val="0000FF"/>
      <w:u w:val="single"/>
    </w:rPr>
  </w:style>
  <w:style w:type="character" w:styleId="af4">
    <w:name w:val="Hyperlink"/>
    <w:link w:val="14"/>
    <w:rPr>
      <w:color w:val="0000FF"/>
      <w:u w:val="single"/>
    </w:rPr>
  </w:style>
  <w:style w:type="paragraph" w:customStyle="1" w:styleId="Footnote">
    <w:name w:val="Footnote"/>
    <w:basedOn w:val="a"/>
    <w:link w:val="Footnote0"/>
    <w:rPr>
      <w:sz w:val="20"/>
    </w:rPr>
  </w:style>
  <w:style w:type="character" w:customStyle="1" w:styleId="Footnote0">
    <w:name w:val="Footnote_0"/>
    <w:link w:val="Footnote"/>
    <w:rPr>
      <w:rFonts w:ascii="Times New Roman" w:hAnsi="Times New Roman"/>
      <w:sz w:val="20"/>
    </w:rPr>
  </w:style>
  <w:style w:type="paragraph" w:styleId="15">
    <w:name w:val="toc 1"/>
    <w:next w:val="a"/>
    <w:link w:val="16"/>
    <w:uiPriority w:val="39"/>
    <w:rPr>
      <w:rFonts w:ascii="XO Thames" w:hAnsi="XO Thames"/>
      <w:b/>
      <w:color w:val="000000"/>
      <w:sz w:val="28"/>
    </w:rPr>
  </w:style>
  <w:style w:type="character" w:customStyle="1" w:styleId="16">
    <w:name w:val="Оглавление 1 Знак"/>
    <w:link w:val="15"/>
    <w:rPr>
      <w:rFonts w:ascii="XO Thames" w:hAnsi="XO Thames"/>
      <w:b/>
      <w:sz w:val="28"/>
    </w:rPr>
  </w:style>
  <w:style w:type="paragraph" w:customStyle="1" w:styleId="Default">
    <w:name w:val="Default"/>
    <w:link w:val="Default0"/>
    <w:rPr>
      <w:rFonts w:ascii="Times New Roman" w:hAnsi="Times New Roman"/>
      <w:color w:val="000000"/>
      <w:sz w:val="24"/>
    </w:rPr>
  </w:style>
  <w:style w:type="character" w:customStyle="1" w:styleId="Default0">
    <w:name w:val="Default_0"/>
    <w:link w:val="Default"/>
    <w:rPr>
      <w:rFonts w:ascii="Times New Roman" w:hAnsi="Times New Roman"/>
      <w:color w:val="000000"/>
      <w:sz w:val="24"/>
    </w:rPr>
  </w:style>
  <w:style w:type="paragraph" w:customStyle="1" w:styleId="HeaderandFooter">
    <w:name w:val="Header and Footer"/>
    <w:link w:val="HeaderandFooter0"/>
    <w:pPr>
      <w:jc w:val="both"/>
    </w:pPr>
    <w:rPr>
      <w:rFonts w:ascii="XO Thames" w:hAnsi="XO Thames"/>
      <w:color w:val="000000"/>
    </w:rPr>
  </w:style>
  <w:style w:type="character" w:customStyle="1" w:styleId="HeaderandFooter0">
    <w:name w:val="Header and Footer_0"/>
    <w:link w:val="HeaderandFooter"/>
    <w:rPr>
      <w:rFonts w:ascii="XO Thames" w:hAnsi="XO Thames"/>
      <w:sz w:val="20"/>
    </w:rPr>
  </w:style>
  <w:style w:type="paragraph" w:styleId="af5">
    <w:name w:val="footer"/>
    <w:basedOn w:val="a"/>
    <w:link w:val="af6"/>
    <w:pPr>
      <w:tabs>
        <w:tab w:val="center" w:pos="4153"/>
        <w:tab w:val="right" w:pos="8306"/>
      </w:tabs>
      <w:spacing w:after="60"/>
      <w:jc w:val="both"/>
    </w:pPr>
  </w:style>
  <w:style w:type="character" w:customStyle="1" w:styleId="af6">
    <w:name w:val="Нижний колонтитул Знак"/>
    <w:link w:val="af5"/>
    <w:rPr>
      <w:rFonts w:ascii="Times New Roman" w:hAnsi="Times New Roman"/>
      <w:sz w:val="24"/>
    </w:rPr>
  </w:style>
  <w:style w:type="paragraph" w:styleId="91">
    <w:name w:val="toc 9"/>
    <w:next w:val="a"/>
    <w:link w:val="92"/>
    <w:uiPriority w:val="39"/>
    <w:pPr>
      <w:ind w:left="1600"/>
    </w:pPr>
    <w:rPr>
      <w:rFonts w:ascii="XO Thames" w:hAnsi="XO Thames"/>
      <w:color w:val="000000"/>
      <w:sz w:val="28"/>
    </w:rPr>
  </w:style>
  <w:style w:type="character" w:customStyle="1" w:styleId="92">
    <w:name w:val="Оглавление 9 Знак"/>
    <w:link w:val="91"/>
    <w:rPr>
      <w:rFonts w:ascii="XO Thames" w:hAnsi="XO Thames"/>
      <w:sz w:val="28"/>
    </w:rPr>
  </w:style>
  <w:style w:type="paragraph" w:customStyle="1" w:styleId="ConsPlusTitle">
    <w:name w:val="ConsPlusTitle"/>
    <w:link w:val="ConsPlusTitle0"/>
    <w:pPr>
      <w:widowControl w:val="0"/>
    </w:pPr>
    <w:rPr>
      <w:rFonts w:ascii="Arial" w:hAnsi="Arial"/>
      <w:b/>
      <w:color w:val="000000"/>
    </w:rPr>
  </w:style>
  <w:style w:type="character" w:customStyle="1" w:styleId="ConsPlusTitle0">
    <w:name w:val="ConsPlusTitle_0"/>
    <w:link w:val="ConsPlusTitle"/>
    <w:rPr>
      <w:rFonts w:ascii="Arial" w:hAnsi="Arial"/>
      <w:b/>
    </w:rPr>
  </w:style>
  <w:style w:type="paragraph" w:styleId="81">
    <w:name w:val="toc 8"/>
    <w:next w:val="a"/>
    <w:link w:val="82"/>
    <w:uiPriority w:val="39"/>
    <w:pPr>
      <w:ind w:left="1400"/>
    </w:pPr>
    <w:rPr>
      <w:rFonts w:ascii="XO Thames" w:hAnsi="XO Thames"/>
      <w:color w:val="000000"/>
      <w:sz w:val="28"/>
    </w:rPr>
  </w:style>
  <w:style w:type="character" w:customStyle="1" w:styleId="82">
    <w:name w:val="Оглавление 8 Знак"/>
    <w:link w:val="81"/>
    <w:rPr>
      <w:rFonts w:ascii="XO Thames" w:hAnsi="XO Thames"/>
      <w:sz w:val="28"/>
    </w:rPr>
  </w:style>
  <w:style w:type="paragraph" w:customStyle="1" w:styleId="17">
    <w:name w:val="Номер страницы1"/>
    <w:link w:val="af7"/>
    <w:rPr>
      <w:rFonts w:ascii="Times New Roman" w:hAnsi="Times New Roman"/>
      <w:color w:val="000000"/>
    </w:rPr>
  </w:style>
  <w:style w:type="character" w:styleId="af7">
    <w:name w:val="page number"/>
    <w:link w:val="17"/>
    <w:rPr>
      <w:rFonts w:ascii="Times New Roman" w:hAnsi="Times New Roman"/>
    </w:rPr>
  </w:style>
  <w:style w:type="paragraph" w:styleId="52">
    <w:name w:val="toc 5"/>
    <w:next w:val="a"/>
    <w:link w:val="53"/>
    <w:uiPriority w:val="39"/>
    <w:pPr>
      <w:ind w:left="800"/>
    </w:pPr>
    <w:rPr>
      <w:rFonts w:ascii="XO Thames" w:hAnsi="XO Thames"/>
      <w:color w:val="000000"/>
      <w:sz w:val="28"/>
    </w:rPr>
  </w:style>
  <w:style w:type="character" w:customStyle="1" w:styleId="53">
    <w:name w:val="Оглавление 5 Знак"/>
    <w:link w:val="52"/>
    <w:rPr>
      <w:rFonts w:ascii="XO Thames" w:hAnsi="XO Thames"/>
      <w:sz w:val="28"/>
    </w:rPr>
  </w:style>
  <w:style w:type="paragraph" w:customStyle="1" w:styleId="ConsPlusNormal">
    <w:name w:val="ConsPlusNormal"/>
    <w:link w:val="ConsPlusNormal0"/>
    <w:pPr>
      <w:widowControl w:val="0"/>
      <w:ind w:firstLine="720"/>
    </w:pPr>
    <w:rPr>
      <w:rFonts w:ascii="Arial" w:hAnsi="Arial"/>
      <w:color w:val="000000"/>
      <w:sz w:val="22"/>
    </w:rPr>
  </w:style>
  <w:style w:type="character" w:customStyle="1" w:styleId="ConsPlusNormal0">
    <w:name w:val="ConsPlusNormal_0"/>
    <w:link w:val="ConsPlusNormal"/>
    <w:rPr>
      <w:rFonts w:ascii="Arial" w:hAnsi="Arial"/>
      <w:sz w:val="22"/>
    </w:rPr>
  </w:style>
  <w:style w:type="paragraph" w:styleId="af8">
    <w:name w:val="Subtitle"/>
    <w:next w:val="a"/>
    <w:link w:val="af9"/>
    <w:uiPriority w:val="11"/>
    <w:qFormat/>
    <w:pPr>
      <w:jc w:val="both"/>
    </w:pPr>
    <w:rPr>
      <w:rFonts w:ascii="XO Thames" w:hAnsi="XO Thames"/>
      <w:i/>
      <w:color w:val="000000"/>
      <w:sz w:val="24"/>
    </w:rPr>
  </w:style>
  <w:style w:type="character" w:customStyle="1" w:styleId="af9">
    <w:name w:val="Подзаголовок Знак"/>
    <w:link w:val="af8"/>
    <w:rPr>
      <w:rFonts w:ascii="XO Thames" w:hAnsi="XO Thames"/>
      <w:i/>
      <w:sz w:val="24"/>
    </w:rPr>
  </w:style>
  <w:style w:type="paragraph" w:customStyle="1" w:styleId="18">
    <w:name w:val="Знак сноски1"/>
    <w:link w:val="afa"/>
    <w:rPr>
      <w:color w:val="000000"/>
      <w:vertAlign w:val="superscript"/>
    </w:rPr>
  </w:style>
  <w:style w:type="character" w:styleId="afa">
    <w:name w:val="footnote reference"/>
    <w:link w:val="18"/>
    <w:rPr>
      <w:vertAlign w:val="superscript"/>
    </w:rPr>
  </w:style>
  <w:style w:type="paragraph" w:styleId="afb">
    <w:name w:val="Normal (Web)"/>
    <w:basedOn w:val="a"/>
    <w:link w:val="afc"/>
    <w:uiPriority w:val="99"/>
    <w:pPr>
      <w:spacing w:beforeAutospacing="1" w:afterAutospacing="1"/>
    </w:pPr>
  </w:style>
  <w:style w:type="character" w:customStyle="1" w:styleId="afc">
    <w:name w:val="Обычный (Интернет) Знак"/>
    <w:link w:val="afb"/>
    <w:rPr>
      <w:rFonts w:ascii="Times New Roman" w:hAnsi="Times New Roman"/>
      <w:sz w:val="24"/>
    </w:rPr>
  </w:style>
  <w:style w:type="paragraph" w:styleId="afd">
    <w:name w:val="Title"/>
    <w:next w:val="a"/>
    <w:link w:val="afe"/>
    <w:uiPriority w:val="10"/>
    <w:qFormat/>
    <w:pPr>
      <w:spacing w:before="567" w:after="567"/>
      <w:jc w:val="center"/>
    </w:pPr>
    <w:rPr>
      <w:rFonts w:ascii="XO Thames" w:hAnsi="XO Thames"/>
      <w:b/>
      <w:caps/>
      <w:color w:val="000000"/>
      <w:sz w:val="40"/>
    </w:rPr>
  </w:style>
  <w:style w:type="character" w:customStyle="1" w:styleId="afe">
    <w:name w:val="Заголовок Знак"/>
    <w:link w:val="afd"/>
    <w:rPr>
      <w:rFonts w:ascii="XO Thames" w:hAnsi="XO Thames"/>
      <w:b/>
      <w:caps/>
      <w:sz w:val="40"/>
    </w:rPr>
  </w:style>
  <w:style w:type="character" w:customStyle="1" w:styleId="40">
    <w:name w:val="Заголовок 4 Знак"/>
    <w:link w:val="4"/>
    <w:rPr>
      <w:rFonts w:ascii="XO Thames" w:hAnsi="XO Thames"/>
      <w:b/>
      <w:sz w:val="24"/>
    </w:rPr>
  </w:style>
  <w:style w:type="paragraph" w:customStyle="1" w:styleId="19">
    <w:name w:val="Основной текст с отступом1"/>
    <w:basedOn w:val="a"/>
    <w:link w:val="100"/>
    <w:pPr>
      <w:spacing w:before="60"/>
      <w:ind w:firstLine="851"/>
      <w:jc w:val="both"/>
    </w:pPr>
  </w:style>
  <w:style w:type="character" w:customStyle="1" w:styleId="100">
    <w:name w:val="Основной текст с отступом1_0"/>
    <w:link w:val="19"/>
    <w:rPr>
      <w:rFonts w:ascii="Times New Roman" w:hAnsi="Times New Roman"/>
      <w:sz w:val="24"/>
    </w:rPr>
  </w:style>
  <w:style w:type="character" w:customStyle="1" w:styleId="20">
    <w:name w:val="Заголовок 2 Знак"/>
    <w:link w:val="2"/>
    <w:rPr>
      <w:rFonts w:ascii="XO Thames" w:hAnsi="XO Thames"/>
      <w:b/>
      <w:sz w:val="28"/>
    </w:rPr>
  </w:style>
  <w:style w:type="paragraph" w:styleId="aff">
    <w:name w:val="Balloon Text"/>
    <w:basedOn w:val="a"/>
    <w:link w:val="aff0"/>
    <w:rPr>
      <w:rFonts w:ascii="Tahoma" w:hAnsi="Tahoma"/>
      <w:sz w:val="16"/>
    </w:rPr>
  </w:style>
  <w:style w:type="character" w:customStyle="1" w:styleId="aff0">
    <w:name w:val="Текст выноски Знак"/>
    <w:link w:val="aff"/>
    <w:rPr>
      <w:rFonts w:ascii="Tahoma" w:hAnsi="Tahoma"/>
      <w:sz w:val="16"/>
    </w:rPr>
  </w:style>
  <w:style w:type="paragraph" w:customStyle="1" w:styleId="1a">
    <w:name w:val="Знак концевой сноски1"/>
    <w:link w:val="aff1"/>
    <w:rPr>
      <w:color w:val="000000"/>
      <w:vertAlign w:val="superscript"/>
    </w:rPr>
  </w:style>
  <w:style w:type="character" w:styleId="aff1">
    <w:name w:val="endnote reference"/>
    <w:link w:val="1a"/>
    <w:rPr>
      <w:vertAlign w:val="superscript"/>
    </w:rPr>
  </w:style>
  <w:style w:type="table" w:styleId="aff2">
    <w:name w:val="Table Grid"/>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3">
    <w:name w:val="annotation reference"/>
    <w:uiPriority w:val="99"/>
    <w:semiHidden/>
    <w:unhideWhenUsed/>
    <w:rPr>
      <w:sz w:val="16"/>
      <w:szCs w:val="16"/>
    </w:rPr>
  </w:style>
  <w:style w:type="paragraph" w:styleId="aff4">
    <w:name w:val="annotation text"/>
    <w:basedOn w:val="a"/>
    <w:link w:val="aff5"/>
    <w:uiPriority w:val="99"/>
    <w:unhideWhenUsed/>
    <w:rPr>
      <w:sz w:val="20"/>
    </w:rPr>
  </w:style>
  <w:style w:type="character" w:customStyle="1" w:styleId="aff5">
    <w:name w:val="Текст примечания Знак"/>
    <w:link w:val="aff4"/>
    <w:uiPriority w:val="99"/>
    <w:rPr>
      <w:rFonts w:ascii="Times New Roman" w:hAnsi="Times New Roman"/>
    </w:rPr>
  </w:style>
  <w:style w:type="character" w:customStyle="1" w:styleId="ConsPlusNormal00">
    <w:name w:val="ConsPlusNormal_0_0"/>
    <w:rsid w:val="001E4E0A"/>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LAW&amp;n=495181&amp;dst=100336&amp;field=134&amp;date=13.02.2026"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consultantplus://offline/ref=FF3E349D323B71DCEEF4111FC01EB740E6377A8490D88A50F14131E6659F8BE5EAFCA6A16A21DB29AAFD727402DC67648050CB0BD9EE57g8B"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ogin.consultant.ru/link/?req=doc&amp;base=LAW&amp;n=451182&amp;dst=100024"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internet.garant.ru/" TargetMode="External"/><Relationship Id="rId4" Type="http://schemas.openxmlformats.org/officeDocument/2006/relationships/webSettings" Target="webSettings.xml"/><Relationship Id="rId9" Type="http://schemas.openxmlformats.org/officeDocument/2006/relationships/hyperlink" Target="https://internet.garant.ru/" TargetMode="External"/><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11660</Words>
  <Characters>66462</Characters>
  <Application>Microsoft Office Word</Application>
  <DocSecurity>0</DocSecurity>
  <Lines>553</Lines>
  <Paragraphs>155</Paragraphs>
  <ScaleCrop>false</ScaleCrop>
  <HeadingPairs>
    <vt:vector size="2" baseType="variant">
      <vt:variant>
        <vt:lpstr>Название</vt:lpstr>
      </vt:variant>
      <vt:variant>
        <vt:i4>1</vt:i4>
      </vt:variant>
    </vt:vector>
  </HeadingPairs>
  <TitlesOfParts>
    <vt:vector size="1" baseType="lpstr">
      <vt:lpstr/>
    </vt:vector>
  </TitlesOfParts>
  <Company>Миистерство финансов Хабаровского края</Company>
  <LinksUpToDate>false</LinksUpToDate>
  <CharactersWithSpaces>77967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Глазова Елена Анатольевна</dc:creator>
  <cp:lastModifiedBy>Анна Хабаровск Бук</cp:lastModifiedBy>
  <cp:revision>6</cp:revision>
  <dcterms:created xsi:type="dcterms:W3CDTF">2025-09-02T07:59:00Z</dcterms:created>
  <dcterms:modified xsi:type="dcterms:W3CDTF">2026-03-24T22:58:00Z</dcterms:modified>
</cp:coreProperties>
</file>