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F7D" w:rsidRPr="00CD5CFD" w:rsidRDefault="00A642B6" w:rsidP="00092F7D">
      <w:pPr>
        <w:pStyle w:val="NoSpacing"/>
        <w:spacing w:before="240"/>
        <w:jc w:val="center"/>
        <w:rPr>
          <w:rFonts w:cs="Calibri"/>
          <w:b/>
          <w:color w:val="E36C0A" w:themeColor="accent6" w:themeShade="BF"/>
          <w:sz w:val="32"/>
          <w:szCs w:val="32"/>
        </w:rPr>
      </w:pPr>
      <w:r w:rsidRPr="00CD5CFD">
        <w:rPr>
          <w:rFonts w:cs="Calibri"/>
          <w:b/>
          <w:color w:val="E36C0A" w:themeColor="accent6" w:themeShade="BF"/>
          <w:sz w:val="32"/>
          <w:szCs w:val="32"/>
        </w:rPr>
        <w:t>How to Prepare Your Grant Budget</w:t>
      </w:r>
    </w:p>
    <w:p w:rsidR="009C63D3" w:rsidRDefault="009C63D3" w:rsidP="00C041B3">
      <w:pPr>
        <w:spacing w:after="120"/>
        <w:jc w:val="center"/>
        <w:rPr>
          <w:b/>
          <w:bCs/>
          <w:color w:val="E36C0A" w:themeColor="accent6" w:themeShade="BF"/>
          <w:sz w:val="24"/>
          <w:szCs w:val="24"/>
        </w:rPr>
      </w:pPr>
    </w:p>
    <w:p w:rsidR="00AE7465" w:rsidRPr="00C71520" w:rsidRDefault="00B4327F" w:rsidP="00C041B3">
      <w:pPr>
        <w:spacing w:after="120"/>
        <w:jc w:val="center"/>
        <w:rPr>
          <w:b/>
          <w:bCs/>
          <w:color w:val="E36C0A" w:themeColor="accent6" w:themeShade="BF"/>
          <w:sz w:val="24"/>
          <w:szCs w:val="24"/>
        </w:rPr>
      </w:pPr>
      <w:r w:rsidRPr="00C71520">
        <w:rPr>
          <w:b/>
          <w:bCs/>
          <w:color w:val="E36C0A" w:themeColor="accent6" w:themeShade="BF"/>
          <w:sz w:val="24"/>
          <w:szCs w:val="24"/>
        </w:rPr>
        <w:t xml:space="preserve">The </w:t>
      </w:r>
      <w:r w:rsidR="00C71520" w:rsidRPr="00C71520">
        <w:rPr>
          <w:b/>
          <w:bCs/>
          <w:color w:val="E36C0A" w:themeColor="accent6" w:themeShade="BF"/>
          <w:sz w:val="24"/>
          <w:szCs w:val="24"/>
        </w:rPr>
        <w:t>B</w:t>
      </w:r>
      <w:r w:rsidRPr="00C71520">
        <w:rPr>
          <w:b/>
          <w:bCs/>
          <w:color w:val="E36C0A" w:themeColor="accent6" w:themeShade="BF"/>
          <w:sz w:val="24"/>
          <w:szCs w:val="24"/>
        </w:rPr>
        <w:t xml:space="preserve">udget </w:t>
      </w:r>
      <w:r w:rsidR="00C71520" w:rsidRPr="00C71520">
        <w:rPr>
          <w:b/>
          <w:bCs/>
          <w:color w:val="E36C0A" w:themeColor="accent6" w:themeShade="BF"/>
          <w:sz w:val="24"/>
          <w:szCs w:val="24"/>
        </w:rPr>
        <w:t>P</w:t>
      </w:r>
      <w:r w:rsidRPr="00C71520">
        <w:rPr>
          <w:b/>
          <w:bCs/>
          <w:color w:val="E36C0A" w:themeColor="accent6" w:themeShade="BF"/>
          <w:sz w:val="24"/>
          <w:szCs w:val="24"/>
        </w:rPr>
        <w:t xml:space="preserve">reparation </w:t>
      </w:r>
      <w:r w:rsidR="00C71520" w:rsidRPr="00C71520">
        <w:rPr>
          <w:b/>
          <w:bCs/>
          <w:color w:val="E36C0A" w:themeColor="accent6" w:themeShade="BF"/>
          <w:sz w:val="24"/>
          <w:szCs w:val="24"/>
        </w:rPr>
        <w:t>P</w:t>
      </w:r>
      <w:r w:rsidRPr="00C71520">
        <w:rPr>
          <w:b/>
          <w:bCs/>
          <w:color w:val="E36C0A" w:themeColor="accent6" w:themeShade="BF"/>
          <w:sz w:val="24"/>
          <w:szCs w:val="24"/>
        </w:rPr>
        <w:t>rocess</w:t>
      </w:r>
      <w:r w:rsidR="00051817">
        <w:rPr>
          <w:b/>
          <w:bCs/>
          <w:color w:val="E36C0A" w:themeColor="accent6" w:themeShade="BF"/>
          <w:sz w:val="24"/>
          <w:szCs w:val="24"/>
        </w:rPr>
        <w:t xml:space="preserve"> and TCE Budget Policy</w:t>
      </w:r>
    </w:p>
    <w:p w:rsidR="007E1B30" w:rsidRDefault="007E1B30" w:rsidP="004507C3">
      <w:pPr>
        <w:pStyle w:val="NoSpacing"/>
        <w:jc w:val="both"/>
      </w:pPr>
    </w:p>
    <w:p w:rsidR="004507C3" w:rsidRPr="00FC2D30" w:rsidRDefault="00F5500D" w:rsidP="004507C3">
      <w:pPr>
        <w:pStyle w:val="NoSpacing"/>
        <w:jc w:val="both"/>
      </w:pPr>
      <w:r>
        <w:t xml:space="preserve">Requests for Restricted Project grants from TCE require a </w:t>
      </w:r>
      <w:r w:rsidR="00236A75">
        <w:t>grant</w:t>
      </w:r>
      <w:r>
        <w:t xml:space="preserve"> budget. </w:t>
      </w:r>
      <w:r w:rsidR="00321240" w:rsidRPr="00FC2D30">
        <w:t>The following</w:t>
      </w:r>
      <w:r w:rsidR="00395148" w:rsidRPr="00FC2D30">
        <w:t xml:space="preserve"> is a category-by-</w:t>
      </w:r>
      <w:r w:rsidR="00537F23" w:rsidRPr="00FC2D30">
        <w:t xml:space="preserve">category look at completing </w:t>
      </w:r>
      <w:r w:rsidR="00395148" w:rsidRPr="00FC2D30">
        <w:t>a</w:t>
      </w:r>
      <w:r w:rsidR="00C71520" w:rsidRPr="00FC2D30">
        <w:t xml:space="preserve"> grant</w:t>
      </w:r>
      <w:r w:rsidR="00321240" w:rsidRPr="00FC2D30">
        <w:t xml:space="preserve"> budget</w:t>
      </w:r>
      <w:r w:rsidR="00564BD7" w:rsidRPr="00FC2D30">
        <w:t>.</w:t>
      </w:r>
    </w:p>
    <w:p w:rsidR="004507C3" w:rsidRPr="00C8496E" w:rsidRDefault="004507C3" w:rsidP="004507C3">
      <w:pPr>
        <w:pStyle w:val="NoSpacing"/>
      </w:pPr>
    </w:p>
    <w:p w:rsidR="00AE7465" w:rsidRPr="00DE549F" w:rsidRDefault="008C3580" w:rsidP="009C63D3">
      <w:pPr>
        <w:spacing w:after="120"/>
        <w:jc w:val="center"/>
      </w:pPr>
      <w:r w:rsidRPr="00DE549F">
        <w:rPr>
          <w:b/>
          <w:bCs/>
          <w:sz w:val="24"/>
          <w:szCs w:val="24"/>
        </w:rPr>
        <w:t>Direct Costs</w:t>
      </w:r>
    </w:p>
    <w:p w:rsidR="00537F23" w:rsidRPr="00DE549F" w:rsidRDefault="00C71520" w:rsidP="000F3079">
      <w:pPr>
        <w:pStyle w:val="ListParagraph"/>
        <w:numPr>
          <w:ilvl w:val="0"/>
          <w:numId w:val="22"/>
        </w:numPr>
        <w:spacing w:after="120"/>
        <w:jc w:val="both"/>
        <w:rPr>
          <w:b/>
        </w:rPr>
      </w:pPr>
      <w:r w:rsidRPr="00DE549F">
        <w:rPr>
          <w:b/>
        </w:rPr>
        <w:t xml:space="preserve">The </w:t>
      </w:r>
      <w:r w:rsidR="008C3580" w:rsidRPr="00DE549F">
        <w:rPr>
          <w:b/>
        </w:rPr>
        <w:t>Personnel</w:t>
      </w:r>
      <w:r w:rsidRPr="00DE549F">
        <w:rPr>
          <w:b/>
        </w:rPr>
        <w:t xml:space="preserve"> Section</w:t>
      </w:r>
    </w:p>
    <w:p w:rsidR="00136C4D" w:rsidRDefault="00A65743" w:rsidP="00EC5797">
      <w:pPr>
        <w:spacing w:after="120"/>
        <w:jc w:val="both"/>
      </w:pPr>
      <w:r>
        <w:t xml:space="preserve">The Personnel section of the budget consists of </w:t>
      </w:r>
      <w:r w:rsidR="00FC3E37">
        <w:t xml:space="preserve">direct cost </w:t>
      </w:r>
      <w:r>
        <w:t>line items which</w:t>
      </w:r>
      <w:r w:rsidR="006675D0">
        <w:t xml:space="preserve"> </w:t>
      </w:r>
      <w:r w:rsidR="00241466">
        <w:t xml:space="preserve">represent salaries of </w:t>
      </w:r>
      <w:r>
        <w:t>employees of the grantee</w:t>
      </w:r>
      <w:r w:rsidR="00A6006A">
        <w:t xml:space="preserve"> who will be working on the project</w:t>
      </w:r>
      <w:r>
        <w:t>.  In each</w:t>
      </w:r>
      <w:r w:rsidR="001C2BCA">
        <w:t xml:space="preserve"> </w:t>
      </w:r>
      <w:r w:rsidR="00AE7465">
        <w:t>salary line item</w:t>
      </w:r>
      <w:r w:rsidR="00AB139F">
        <w:t xml:space="preserve"> the employee’s</w:t>
      </w:r>
      <w:r w:rsidR="00AE7465">
        <w:t xml:space="preserve"> title, the total project dollar amount, the total</w:t>
      </w:r>
      <w:r w:rsidR="00A6006A">
        <w:t xml:space="preserve"> grantee request</w:t>
      </w:r>
      <w:r w:rsidR="003E5BD5">
        <w:t xml:space="preserve"> and </w:t>
      </w:r>
      <w:r w:rsidR="00AE7465">
        <w:t xml:space="preserve">TCE </w:t>
      </w:r>
      <w:r w:rsidR="003E5BD5">
        <w:t>approved</w:t>
      </w:r>
      <w:r w:rsidR="00AE7465">
        <w:t xml:space="preserve"> amount for </w:t>
      </w:r>
      <w:r w:rsidR="00AB139F">
        <w:t>each year of the grant period</w:t>
      </w:r>
      <w:r w:rsidR="0056627A">
        <w:t xml:space="preserve"> are reflected</w:t>
      </w:r>
      <w:r w:rsidR="00AE7465">
        <w:t>.  Include</w:t>
      </w:r>
      <w:r w:rsidR="0056627A">
        <w:t xml:space="preserve">d </w:t>
      </w:r>
      <w:r>
        <w:t xml:space="preserve">in the employee title descriptions </w:t>
      </w:r>
      <w:r w:rsidR="0056627A">
        <w:t>are</w:t>
      </w:r>
      <w:r w:rsidR="00AE7465">
        <w:t xml:space="preserve"> the percentage</w:t>
      </w:r>
      <w:r w:rsidR="00CE1006">
        <w:t>s</w:t>
      </w:r>
      <w:r w:rsidR="00AE7465">
        <w:t xml:space="preserve"> of full time employment</w:t>
      </w:r>
      <w:r w:rsidR="00C71520">
        <w:t xml:space="preserve"> (FTE) devoted to the project</w:t>
      </w:r>
      <w:r w:rsidR="00EC5797">
        <w:t>,</w:t>
      </w:r>
      <w:r w:rsidR="00AE7465">
        <w:t xml:space="preserve"> (i.e., 1.0 FTE, 0.50 FTE.</w:t>
      </w:r>
      <w:r w:rsidR="003E6157">
        <w:t>)</w:t>
      </w:r>
      <w:r w:rsidR="00AE7465">
        <w:t xml:space="preserve"> </w:t>
      </w:r>
      <w:r w:rsidR="00EC5797">
        <w:t xml:space="preserve">The costs related to employees devoting 10% or less to the project should not be reflected in the Personnel Section, </w:t>
      </w:r>
      <w:r w:rsidR="00A6006A">
        <w:t>as they are considered to be indirect costs by TCE (see below)</w:t>
      </w:r>
      <w:r w:rsidR="00EC5797">
        <w:t>.</w:t>
      </w:r>
    </w:p>
    <w:p w:rsidR="00665E82" w:rsidRDefault="00AE7465" w:rsidP="002737FA">
      <w:pPr>
        <w:pStyle w:val="ListParagraph"/>
        <w:ind w:left="0"/>
        <w:jc w:val="both"/>
      </w:pPr>
      <w:r>
        <w:t xml:space="preserve">Personnel </w:t>
      </w:r>
      <w:r w:rsidR="00BE497C">
        <w:t xml:space="preserve">line </w:t>
      </w:r>
      <w:r w:rsidR="001952AD">
        <w:t>item</w:t>
      </w:r>
      <w:r w:rsidR="00BE497C">
        <w:t xml:space="preserve">s </w:t>
      </w:r>
      <w:r>
        <w:t xml:space="preserve">can be </w:t>
      </w:r>
      <w:r w:rsidR="00BE497C">
        <w:t xml:space="preserve">ordered </w:t>
      </w:r>
      <w:r>
        <w:t>in two ways: A) by highest ranking staff, which is most common, or B) by most time spent on the project (e.g., 1.0 FTE being first followed by lesser time staff</w:t>
      </w:r>
      <w:r w:rsidR="00665E82">
        <w:t>.)</w:t>
      </w:r>
    </w:p>
    <w:p w:rsidR="00AC2DD0" w:rsidRDefault="00AC2DD0" w:rsidP="001C2BCA">
      <w:pPr>
        <w:pStyle w:val="ListParagraph"/>
        <w:ind w:left="1800"/>
        <w:jc w:val="both"/>
      </w:pPr>
    </w:p>
    <w:p w:rsidR="00894ABB" w:rsidRPr="001A4C72" w:rsidRDefault="000F3079" w:rsidP="00136C4D">
      <w:pPr>
        <w:pStyle w:val="ListParagraph"/>
        <w:ind w:left="1080"/>
        <w:jc w:val="both"/>
        <w:rPr>
          <w:rFonts w:eastAsia="Times New Roman"/>
          <w:i/>
          <w:iCs/>
        </w:rPr>
      </w:pPr>
      <w:r w:rsidRPr="001A4C72">
        <w:rPr>
          <w:rFonts w:eastAsia="Times New Roman"/>
          <w:b/>
          <w:bCs/>
        </w:rPr>
        <w:t xml:space="preserve"> </w:t>
      </w:r>
      <w:r w:rsidR="0088458A" w:rsidRPr="001A4C72">
        <w:rPr>
          <w:rFonts w:eastAsia="Times New Roman"/>
          <w:b/>
          <w:bCs/>
        </w:rPr>
        <w:t>Benefits</w:t>
      </w:r>
      <w:r w:rsidR="0088458A" w:rsidRPr="001A4C72">
        <w:rPr>
          <w:rFonts w:eastAsia="Times New Roman"/>
          <w:i/>
          <w:iCs/>
        </w:rPr>
        <w:t xml:space="preserve"> </w:t>
      </w:r>
    </w:p>
    <w:p w:rsidR="0088458A" w:rsidRDefault="00894ABB" w:rsidP="0034617E">
      <w:pPr>
        <w:jc w:val="both"/>
        <w:rPr>
          <w:rFonts w:eastAsia="Times New Roman"/>
        </w:rPr>
      </w:pPr>
      <w:r>
        <w:rPr>
          <w:rFonts w:eastAsia="Times New Roman"/>
          <w:iCs/>
        </w:rPr>
        <w:t xml:space="preserve">The benefits line item reflects the total dollar amount of benefits related to </w:t>
      </w:r>
      <w:r w:rsidR="003B6A3F">
        <w:rPr>
          <w:rFonts w:eastAsia="Times New Roman"/>
          <w:iCs/>
        </w:rPr>
        <w:t xml:space="preserve">the </w:t>
      </w:r>
      <w:r>
        <w:rPr>
          <w:rFonts w:eastAsia="Times New Roman"/>
          <w:iCs/>
        </w:rPr>
        <w:t>personnel line item</w:t>
      </w:r>
      <w:r w:rsidR="003B6A3F">
        <w:rPr>
          <w:rFonts w:eastAsia="Times New Roman"/>
          <w:iCs/>
        </w:rPr>
        <w:t>s</w:t>
      </w:r>
      <w:r>
        <w:rPr>
          <w:rFonts w:eastAsia="Times New Roman"/>
          <w:iCs/>
        </w:rPr>
        <w:t xml:space="preserve"> above it.</w:t>
      </w:r>
      <w:r w:rsidR="0034617E">
        <w:rPr>
          <w:rFonts w:eastAsia="Times New Roman"/>
          <w:iCs/>
        </w:rPr>
        <w:t xml:space="preserve"> </w:t>
      </w:r>
      <w:r w:rsidR="0088458A">
        <w:rPr>
          <w:rFonts w:eastAsia="Times New Roman"/>
        </w:rPr>
        <w:t>TCE allows</w:t>
      </w:r>
      <w:r>
        <w:rPr>
          <w:rFonts w:eastAsia="Times New Roman"/>
        </w:rPr>
        <w:t xml:space="preserve"> funding for</w:t>
      </w:r>
      <w:r w:rsidR="0088458A">
        <w:rPr>
          <w:rFonts w:eastAsia="Times New Roman"/>
        </w:rPr>
        <w:t xml:space="preserve"> grantees’ employee benefits up to 32 percent of personnel salary expenses.  </w:t>
      </w:r>
    </w:p>
    <w:p w:rsidR="0088458A" w:rsidRDefault="0088458A" w:rsidP="0034442B">
      <w:pPr>
        <w:ind w:left="360" w:right="360"/>
        <w:jc w:val="both"/>
      </w:pPr>
    </w:p>
    <w:p w:rsidR="001A1A5D" w:rsidRPr="00AA2321" w:rsidRDefault="001A1A5D" w:rsidP="00310740">
      <w:pPr>
        <w:jc w:val="both"/>
        <w:rPr>
          <w:b/>
        </w:rPr>
      </w:pPr>
    </w:p>
    <w:p w:rsidR="0088458A" w:rsidRPr="00C311B6" w:rsidRDefault="00136C4D" w:rsidP="00136C4D">
      <w:pPr>
        <w:pStyle w:val="ListParagraph"/>
        <w:numPr>
          <w:ilvl w:val="0"/>
          <w:numId w:val="22"/>
        </w:numPr>
        <w:spacing w:after="120"/>
        <w:rPr>
          <w:b/>
          <w:bCs/>
        </w:rPr>
      </w:pPr>
      <w:r>
        <w:rPr>
          <w:b/>
          <w:bCs/>
        </w:rPr>
        <w:t xml:space="preserve">The </w:t>
      </w:r>
      <w:r w:rsidR="0088458A" w:rsidRPr="00C311B6">
        <w:rPr>
          <w:b/>
          <w:bCs/>
        </w:rPr>
        <w:t>Non-Personnel</w:t>
      </w:r>
      <w:r>
        <w:rPr>
          <w:b/>
          <w:bCs/>
        </w:rPr>
        <w:t xml:space="preserve"> Section</w:t>
      </w:r>
    </w:p>
    <w:p w:rsidR="0034617E" w:rsidRDefault="00310740" w:rsidP="0034617E">
      <w:pPr>
        <w:jc w:val="both"/>
        <w:rPr>
          <w:rFonts w:cs="Calibri"/>
          <w:b/>
          <w:color w:val="000000"/>
        </w:rPr>
      </w:pPr>
      <w:r w:rsidRPr="00B2012D">
        <w:rPr>
          <w:rFonts w:cs="Calibri"/>
        </w:rPr>
        <w:t xml:space="preserve">Non-Personnel Costs </w:t>
      </w:r>
      <w:r w:rsidR="00772CB1">
        <w:rPr>
          <w:rFonts w:cs="Calibri"/>
        </w:rPr>
        <w:t>are</w:t>
      </w:r>
      <w:r w:rsidR="006B747A">
        <w:rPr>
          <w:rFonts w:eastAsia="Times New Roman"/>
        </w:rPr>
        <w:t xml:space="preserve"> direct</w:t>
      </w:r>
      <w:r w:rsidR="00B2012D">
        <w:rPr>
          <w:rFonts w:eastAsia="Times New Roman"/>
        </w:rPr>
        <w:t xml:space="preserve"> operating costs </w:t>
      </w:r>
      <w:r w:rsidR="00195CA3">
        <w:rPr>
          <w:rFonts w:eastAsia="Times New Roman"/>
        </w:rPr>
        <w:t xml:space="preserve">necessary to carry out the </w:t>
      </w:r>
      <w:r w:rsidR="00CE1006">
        <w:rPr>
          <w:rFonts w:eastAsia="Times New Roman"/>
        </w:rPr>
        <w:t>project being</w:t>
      </w:r>
      <w:r w:rsidR="00195CA3">
        <w:rPr>
          <w:rFonts w:eastAsia="Times New Roman"/>
        </w:rPr>
        <w:t xml:space="preserve"> funded</w:t>
      </w:r>
      <w:r w:rsidR="0034617E">
        <w:rPr>
          <w:rFonts w:eastAsia="Times New Roman"/>
        </w:rPr>
        <w:t>. TCE considers line items such as</w:t>
      </w:r>
      <w:r w:rsidRPr="00B2012D">
        <w:rPr>
          <w:rFonts w:eastAsia="Times New Roman"/>
        </w:rPr>
        <w:t xml:space="preserve"> Meeting Expenses, Travel Costs, Project Supplies, Printing,</w:t>
      </w:r>
      <w:r w:rsidR="00B2012D">
        <w:rPr>
          <w:rFonts w:eastAsia="Times New Roman"/>
        </w:rPr>
        <w:t xml:space="preserve"> </w:t>
      </w:r>
      <w:r w:rsidRPr="00B2012D">
        <w:rPr>
          <w:rFonts w:eastAsia="Times New Roman"/>
        </w:rPr>
        <w:t>Postage</w:t>
      </w:r>
      <w:r w:rsidR="0034617E">
        <w:rPr>
          <w:rFonts w:eastAsia="Times New Roman"/>
        </w:rPr>
        <w:t xml:space="preserve"> and Incentives </w:t>
      </w:r>
      <w:r w:rsidR="0034617E" w:rsidRPr="00AA3725">
        <w:t>(fliers, water bottles</w:t>
      </w:r>
      <w:r w:rsidR="0034617E">
        <w:t>, chip clips, key chains, etc.) non-personnel direct costs.</w:t>
      </w:r>
    </w:p>
    <w:p w:rsidR="0088458A" w:rsidRDefault="0088458A" w:rsidP="0088458A">
      <w:pPr>
        <w:rPr>
          <w:rFonts w:cs="Calibri"/>
        </w:rPr>
      </w:pPr>
    </w:p>
    <w:p w:rsidR="002D24EC" w:rsidRPr="004239BD" w:rsidRDefault="002D24EC" w:rsidP="00FF666F">
      <w:pPr>
        <w:spacing w:after="120"/>
        <w:jc w:val="center"/>
        <w:rPr>
          <w:b/>
          <w:bCs/>
          <w:sz w:val="24"/>
          <w:szCs w:val="24"/>
        </w:rPr>
      </w:pPr>
      <w:r w:rsidRPr="004239BD">
        <w:rPr>
          <w:b/>
          <w:bCs/>
          <w:sz w:val="24"/>
          <w:szCs w:val="24"/>
        </w:rPr>
        <w:t>Indirect Costs</w:t>
      </w:r>
    </w:p>
    <w:p w:rsidR="005921C0" w:rsidRDefault="00813D51" w:rsidP="002D24EC">
      <w:pPr>
        <w:spacing w:after="120"/>
        <w:rPr>
          <w:bCs/>
        </w:rPr>
      </w:pPr>
      <w:r>
        <w:rPr>
          <w:bCs/>
        </w:rPr>
        <w:t>The percentage of direct costs that the indirect costs represent should be entered in the indirect cost line item description</w:t>
      </w:r>
      <w:r w:rsidR="00781328">
        <w:rPr>
          <w:bCs/>
        </w:rPr>
        <w:t xml:space="preserve"> (</w:t>
      </w:r>
      <w:r w:rsidR="009A5B04" w:rsidRPr="009A5B04">
        <w:rPr>
          <w:bCs/>
        </w:rPr>
        <w:t>e.g</w:t>
      </w:r>
      <w:r w:rsidR="00781328">
        <w:rPr>
          <w:bCs/>
        </w:rPr>
        <w:t>.,</w:t>
      </w:r>
      <w:r>
        <w:rPr>
          <w:bCs/>
        </w:rPr>
        <w:t xml:space="preserve"> “Indirect Costs at X%"</w:t>
      </w:r>
      <w:r w:rsidR="00781328">
        <w:rPr>
          <w:bCs/>
        </w:rPr>
        <w:t>)</w:t>
      </w:r>
      <w:r>
        <w:rPr>
          <w:bCs/>
        </w:rPr>
        <w:t>.</w:t>
      </w:r>
    </w:p>
    <w:p w:rsidR="002D24EC" w:rsidRPr="00074F4D" w:rsidRDefault="002D24EC" w:rsidP="00C8496E">
      <w:pPr>
        <w:autoSpaceDE w:val="0"/>
        <w:autoSpaceDN w:val="0"/>
        <w:adjustRightInd w:val="0"/>
        <w:ind w:right="360"/>
        <w:jc w:val="both"/>
        <w:rPr>
          <w:rFonts w:cs="Calibri"/>
          <w:color w:val="000000"/>
        </w:rPr>
      </w:pPr>
      <w:r w:rsidRPr="00074F4D">
        <w:rPr>
          <w:rFonts w:cs="Calibri"/>
          <w:color w:val="000000"/>
        </w:rPr>
        <w:t xml:space="preserve">Indirect costs are those expenses that are necessary for the general operation of an organization and are not specifically identified by TCE with a particular grant, contract, project or activity.  TCE allows indirect costs up to 15 percent of direct costs to a maximum of $200,000, exclusive of subcontracts, capital improvements, renovations and equipment purchases.  TCE is not bound by any federally-recognized indirect cost rate or by any other funder’s indirect rate, and makes its own determination of allowable direct and indirect costs based only on TCE policies and practices.  </w:t>
      </w:r>
    </w:p>
    <w:p w:rsidR="002D24EC" w:rsidRPr="00074F4D" w:rsidRDefault="002D24EC" w:rsidP="00EE7717">
      <w:pPr>
        <w:autoSpaceDE w:val="0"/>
        <w:autoSpaceDN w:val="0"/>
        <w:adjustRightInd w:val="0"/>
        <w:ind w:left="360" w:right="360"/>
        <w:rPr>
          <w:rFonts w:cs="Calibri"/>
          <w:color w:val="000000"/>
        </w:rPr>
      </w:pPr>
    </w:p>
    <w:p w:rsidR="00055D57" w:rsidRDefault="00055D57" w:rsidP="008C3BAE">
      <w:pPr>
        <w:autoSpaceDE w:val="0"/>
        <w:autoSpaceDN w:val="0"/>
        <w:adjustRightInd w:val="0"/>
        <w:ind w:left="360" w:right="360"/>
        <w:jc w:val="both"/>
        <w:rPr>
          <w:rFonts w:cs="Calibri"/>
          <w:color w:val="000000"/>
        </w:rPr>
      </w:pPr>
    </w:p>
    <w:p w:rsidR="00A93D5B" w:rsidRDefault="00A93D5B" w:rsidP="008C3BAE">
      <w:pPr>
        <w:autoSpaceDE w:val="0"/>
        <w:autoSpaceDN w:val="0"/>
        <w:adjustRightInd w:val="0"/>
        <w:ind w:left="360" w:right="360"/>
        <w:jc w:val="both"/>
        <w:rPr>
          <w:rFonts w:cs="Calibri"/>
          <w:color w:val="000000"/>
        </w:rPr>
      </w:pPr>
    </w:p>
    <w:p w:rsidR="009C63D3" w:rsidRDefault="009C63D3" w:rsidP="008C3BAE">
      <w:pPr>
        <w:autoSpaceDE w:val="0"/>
        <w:autoSpaceDN w:val="0"/>
        <w:adjustRightInd w:val="0"/>
        <w:ind w:left="360" w:right="360"/>
        <w:jc w:val="both"/>
        <w:rPr>
          <w:rFonts w:cs="Calibri"/>
          <w:color w:val="000000"/>
        </w:rPr>
      </w:pPr>
    </w:p>
    <w:p w:rsidR="009C63D3" w:rsidRDefault="009C63D3" w:rsidP="008C3BAE">
      <w:pPr>
        <w:autoSpaceDE w:val="0"/>
        <w:autoSpaceDN w:val="0"/>
        <w:adjustRightInd w:val="0"/>
        <w:ind w:left="360" w:right="360"/>
        <w:jc w:val="both"/>
        <w:rPr>
          <w:rFonts w:cs="Calibri"/>
          <w:color w:val="000000"/>
        </w:rPr>
      </w:pPr>
    </w:p>
    <w:p w:rsidR="009C63D3" w:rsidRDefault="009C63D3" w:rsidP="008C3BAE">
      <w:pPr>
        <w:autoSpaceDE w:val="0"/>
        <w:autoSpaceDN w:val="0"/>
        <w:adjustRightInd w:val="0"/>
        <w:ind w:left="360" w:right="360"/>
        <w:jc w:val="both"/>
        <w:rPr>
          <w:rFonts w:cs="Calibri"/>
          <w:color w:val="000000"/>
        </w:rPr>
      </w:pPr>
    </w:p>
    <w:p w:rsidR="002D24EC" w:rsidRDefault="002D24EC" w:rsidP="008C3BAE">
      <w:pPr>
        <w:autoSpaceDE w:val="0"/>
        <w:autoSpaceDN w:val="0"/>
        <w:adjustRightInd w:val="0"/>
        <w:ind w:left="360" w:right="360"/>
        <w:jc w:val="both"/>
        <w:rPr>
          <w:rFonts w:cs="Calibri"/>
          <w:color w:val="000000"/>
        </w:rPr>
      </w:pPr>
      <w:r w:rsidRPr="00074F4D">
        <w:rPr>
          <w:rFonts w:cs="Calibri"/>
          <w:color w:val="000000"/>
        </w:rPr>
        <w:t>Among items that TCE classifies as indirect costs are:</w:t>
      </w:r>
    </w:p>
    <w:p w:rsidR="00C6643B" w:rsidRPr="00074F4D" w:rsidRDefault="00C6643B" w:rsidP="008C3BAE">
      <w:pPr>
        <w:autoSpaceDE w:val="0"/>
        <w:autoSpaceDN w:val="0"/>
        <w:adjustRightInd w:val="0"/>
        <w:ind w:left="360" w:right="360"/>
        <w:jc w:val="both"/>
        <w:rPr>
          <w:rFonts w:cs="Calibri"/>
          <w:color w:val="000000"/>
        </w:rPr>
      </w:pPr>
    </w:p>
    <w:p w:rsidR="002D24EC" w:rsidRDefault="002D24EC" w:rsidP="008C3BAE">
      <w:pPr>
        <w:pStyle w:val="ListParagraph"/>
        <w:numPr>
          <w:ilvl w:val="0"/>
          <w:numId w:val="31"/>
        </w:numPr>
        <w:autoSpaceDE w:val="0"/>
        <w:autoSpaceDN w:val="0"/>
        <w:adjustRightInd w:val="0"/>
        <w:spacing w:after="0" w:line="240" w:lineRule="auto"/>
        <w:ind w:right="720"/>
        <w:contextualSpacing w:val="0"/>
        <w:jc w:val="both"/>
        <w:rPr>
          <w:rFonts w:cs="Calibri"/>
          <w:color w:val="000000"/>
        </w:rPr>
      </w:pPr>
      <w:r w:rsidRPr="00074F4D">
        <w:rPr>
          <w:rFonts w:cs="Calibri"/>
          <w:color w:val="000000"/>
        </w:rPr>
        <w:t xml:space="preserve">Facilities-related expenses such as depreciation and use allowances – including rent – on buildings and equipment; interest on debt or insurance associated with certain buildings, equipment and capital improvements; and operations and maintenance expenses. </w:t>
      </w:r>
    </w:p>
    <w:p w:rsidR="00D02D13" w:rsidRPr="00074F4D" w:rsidRDefault="00D02D13" w:rsidP="008C3BAE">
      <w:pPr>
        <w:pStyle w:val="ListParagraph"/>
        <w:autoSpaceDE w:val="0"/>
        <w:autoSpaceDN w:val="0"/>
        <w:adjustRightInd w:val="0"/>
        <w:spacing w:after="0" w:line="240" w:lineRule="auto"/>
        <w:ind w:right="720"/>
        <w:contextualSpacing w:val="0"/>
        <w:jc w:val="both"/>
        <w:rPr>
          <w:rFonts w:cs="Calibri"/>
          <w:color w:val="000000"/>
        </w:rPr>
      </w:pPr>
    </w:p>
    <w:p w:rsidR="0075183B" w:rsidRPr="0075183B" w:rsidRDefault="002D24EC" w:rsidP="008C3BAE">
      <w:pPr>
        <w:pStyle w:val="ListParagraph"/>
        <w:numPr>
          <w:ilvl w:val="0"/>
          <w:numId w:val="31"/>
        </w:numPr>
        <w:autoSpaceDE w:val="0"/>
        <w:autoSpaceDN w:val="0"/>
        <w:adjustRightInd w:val="0"/>
        <w:spacing w:after="0" w:line="240" w:lineRule="auto"/>
        <w:ind w:right="720"/>
        <w:contextualSpacing w:val="0"/>
        <w:jc w:val="both"/>
        <w:rPr>
          <w:rFonts w:cs="Calibri"/>
          <w:color w:val="000000"/>
        </w:rPr>
      </w:pPr>
      <w:r w:rsidRPr="00074F4D">
        <w:rPr>
          <w:rFonts w:cs="Calibri"/>
          <w:color w:val="000000"/>
        </w:rPr>
        <w:t xml:space="preserve">Administration-related expenses such as accounting, personnel, </w:t>
      </w:r>
      <w:r w:rsidR="008C1FEB">
        <w:rPr>
          <w:rFonts w:cs="Calibri"/>
          <w:color w:val="000000"/>
        </w:rPr>
        <w:t xml:space="preserve">subscriptions, </w:t>
      </w:r>
      <w:r w:rsidR="008C1FEB" w:rsidRPr="00074F4D">
        <w:rPr>
          <w:rFonts w:cs="Calibri"/>
          <w:color w:val="000000"/>
        </w:rPr>
        <w:t>internet services</w:t>
      </w:r>
      <w:r w:rsidR="008C1FEB">
        <w:rPr>
          <w:rFonts w:cs="Calibri"/>
          <w:color w:val="000000"/>
        </w:rPr>
        <w:t xml:space="preserve">, and </w:t>
      </w:r>
      <w:r w:rsidRPr="00074F4D">
        <w:rPr>
          <w:rFonts w:cs="Calibri"/>
          <w:color w:val="000000"/>
        </w:rPr>
        <w:t xml:space="preserve">library </w:t>
      </w:r>
      <w:r w:rsidR="008C1FEB">
        <w:rPr>
          <w:rFonts w:cs="Calibri"/>
          <w:color w:val="000000"/>
        </w:rPr>
        <w:t>resources,</w:t>
      </w:r>
      <w:r w:rsidRPr="00074F4D">
        <w:rPr>
          <w:rFonts w:cs="Calibri"/>
          <w:color w:val="000000"/>
        </w:rPr>
        <w:t xml:space="preserve"> among others. </w:t>
      </w:r>
    </w:p>
    <w:p w:rsidR="00C6643B" w:rsidRDefault="00C6643B" w:rsidP="008C3BAE">
      <w:pPr>
        <w:ind w:left="720" w:right="720"/>
        <w:jc w:val="both"/>
        <w:rPr>
          <w:rFonts w:cs="Calibri"/>
        </w:rPr>
      </w:pPr>
    </w:p>
    <w:p w:rsidR="00C6643B" w:rsidRDefault="00A93D5B" w:rsidP="008C3BAE">
      <w:pPr>
        <w:pStyle w:val="ListParagraph"/>
        <w:numPr>
          <w:ilvl w:val="0"/>
          <w:numId w:val="31"/>
        </w:numPr>
        <w:spacing w:after="0" w:line="240" w:lineRule="auto"/>
        <w:ind w:right="720"/>
        <w:contextualSpacing w:val="0"/>
        <w:jc w:val="both"/>
        <w:rPr>
          <w:rFonts w:cs="Calibri"/>
        </w:rPr>
      </w:pPr>
      <w:r>
        <w:rPr>
          <w:rFonts w:cs="Calibri"/>
        </w:rPr>
        <w:t>O</w:t>
      </w:r>
      <w:r w:rsidR="00C6643B" w:rsidRPr="00074F4D">
        <w:rPr>
          <w:rFonts w:cs="Calibri"/>
        </w:rPr>
        <w:t xml:space="preserve">ffice supplies, </w:t>
      </w:r>
      <w:r>
        <w:rPr>
          <w:rFonts w:cs="Calibri"/>
        </w:rPr>
        <w:t xml:space="preserve">telephone charges, </w:t>
      </w:r>
      <w:r w:rsidR="00C6643B" w:rsidRPr="00074F4D">
        <w:rPr>
          <w:rFonts w:cs="Calibri"/>
        </w:rPr>
        <w:t xml:space="preserve">internet </w:t>
      </w:r>
      <w:r>
        <w:rPr>
          <w:rFonts w:cs="Calibri"/>
        </w:rPr>
        <w:t>connection fees</w:t>
      </w:r>
      <w:r w:rsidR="00C6643B" w:rsidRPr="00074F4D">
        <w:rPr>
          <w:rFonts w:cs="Calibri"/>
        </w:rPr>
        <w:t xml:space="preserve"> and various insurances (among other things) are typically indirect costs.  </w:t>
      </w:r>
    </w:p>
    <w:p w:rsidR="00AA3725" w:rsidRDefault="00AA3725" w:rsidP="00FF666F">
      <w:pPr>
        <w:autoSpaceDE w:val="0"/>
        <w:autoSpaceDN w:val="0"/>
        <w:adjustRightInd w:val="0"/>
        <w:jc w:val="center"/>
        <w:rPr>
          <w:color w:val="1F497D"/>
        </w:rPr>
      </w:pPr>
    </w:p>
    <w:p w:rsidR="00AF53CA" w:rsidRPr="00AA1025" w:rsidRDefault="008C3580" w:rsidP="00D11E64">
      <w:pPr>
        <w:jc w:val="center"/>
        <w:rPr>
          <w:b/>
          <w:bCs/>
          <w:sz w:val="24"/>
          <w:szCs w:val="24"/>
        </w:rPr>
      </w:pPr>
      <w:r w:rsidRPr="00AA1025">
        <w:rPr>
          <w:b/>
          <w:bCs/>
          <w:sz w:val="24"/>
          <w:szCs w:val="24"/>
        </w:rPr>
        <w:t>Other Costs</w:t>
      </w:r>
    </w:p>
    <w:p w:rsidR="00C041B3" w:rsidRDefault="00C041B3" w:rsidP="00D11E64">
      <w:pPr>
        <w:jc w:val="center"/>
        <w:rPr>
          <w:b/>
          <w:bCs/>
          <w:u w:val="single"/>
        </w:rPr>
      </w:pPr>
    </w:p>
    <w:p w:rsidR="005A466C" w:rsidRPr="005A466C" w:rsidRDefault="005A466C" w:rsidP="005A466C">
      <w:pPr>
        <w:pStyle w:val="ListParagraph"/>
        <w:numPr>
          <w:ilvl w:val="0"/>
          <w:numId w:val="41"/>
        </w:numPr>
        <w:rPr>
          <w:b/>
          <w:bCs/>
        </w:rPr>
      </w:pPr>
      <w:r>
        <w:rPr>
          <w:b/>
          <w:bCs/>
        </w:rPr>
        <w:t>Fiscal Sponsor Fees</w:t>
      </w:r>
    </w:p>
    <w:p w:rsidR="00A93D5B" w:rsidRDefault="00A93D5B" w:rsidP="006F1E74">
      <w:pPr>
        <w:autoSpaceDE w:val="0"/>
        <w:autoSpaceDN w:val="0"/>
        <w:adjustRightInd w:val="0"/>
        <w:ind w:right="360"/>
        <w:jc w:val="both"/>
        <w:rPr>
          <w:rFonts w:cs="Calibri"/>
          <w:color w:val="000000"/>
        </w:rPr>
      </w:pPr>
      <w:r w:rsidRPr="00711BC9">
        <w:rPr>
          <w:rFonts w:cs="Calibri"/>
          <w:color w:val="000000"/>
        </w:rPr>
        <w:t>TCE may fund organizations acting as fiscal sponsors</w:t>
      </w:r>
      <w:r w:rsidR="005A466C">
        <w:rPr>
          <w:rFonts w:cs="Calibri"/>
          <w:color w:val="000000"/>
        </w:rPr>
        <w:t xml:space="preserve"> or administrative agents.</w:t>
      </w:r>
      <w:r w:rsidRPr="00711BC9">
        <w:rPr>
          <w:rFonts w:cs="Calibri"/>
          <w:color w:val="000000"/>
        </w:rPr>
        <w:t xml:space="preserve"> </w:t>
      </w:r>
      <w:r w:rsidR="005A466C">
        <w:rPr>
          <w:rFonts w:cs="Calibri"/>
          <w:color w:val="000000"/>
        </w:rPr>
        <w:t>The total of both f</w:t>
      </w:r>
      <w:r w:rsidRPr="00711BC9">
        <w:rPr>
          <w:rFonts w:cs="Calibri"/>
          <w:color w:val="000000"/>
        </w:rPr>
        <w:t>iscal-sponsor</w:t>
      </w:r>
      <w:r w:rsidR="005A466C">
        <w:rPr>
          <w:rFonts w:cs="Calibri"/>
          <w:color w:val="000000"/>
        </w:rPr>
        <w:t xml:space="preserve"> or administrative agent</w:t>
      </w:r>
      <w:r w:rsidRPr="00711BC9">
        <w:rPr>
          <w:rFonts w:cs="Calibri"/>
          <w:color w:val="000000"/>
        </w:rPr>
        <w:t xml:space="preserve"> fees and indirect costs </w:t>
      </w:r>
      <w:r w:rsidR="005A466C">
        <w:rPr>
          <w:rFonts w:cs="Calibri"/>
          <w:color w:val="000000"/>
        </w:rPr>
        <w:t>added</w:t>
      </w:r>
      <w:r w:rsidRPr="00711BC9">
        <w:rPr>
          <w:rFonts w:cs="Calibri"/>
          <w:color w:val="000000"/>
        </w:rPr>
        <w:t xml:space="preserve"> together </w:t>
      </w:r>
      <w:r w:rsidR="005A466C">
        <w:rPr>
          <w:rFonts w:cs="Calibri"/>
          <w:color w:val="000000"/>
        </w:rPr>
        <w:t>may not</w:t>
      </w:r>
      <w:r w:rsidRPr="00711BC9">
        <w:rPr>
          <w:rFonts w:cs="Calibri"/>
          <w:color w:val="000000"/>
        </w:rPr>
        <w:t xml:space="preserve"> exceed 15 percent of direct costs.  </w:t>
      </w:r>
    </w:p>
    <w:p w:rsidR="00A93D5B" w:rsidRPr="00AF53CA" w:rsidRDefault="00A93D5B" w:rsidP="00D11E64">
      <w:pPr>
        <w:jc w:val="center"/>
        <w:rPr>
          <w:b/>
          <w:bCs/>
          <w:u w:val="single"/>
        </w:rPr>
      </w:pPr>
    </w:p>
    <w:p w:rsidR="00554EDF" w:rsidRPr="00D12853" w:rsidRDefault="008C3580" w:rsidP="005A466C">
      <w:pPr>
        <w:pStyle w:val="ListParagraph"/>
        <w:numPr>
          <w:ilvl w:val="0"/>
          <w:numId w:val="41"/>
        </w:numPr>
        <w:spacing w:after="0" w:line="240" w:lineRule="auto"/>
        <w:jc w:val="both"/>
        <w:rPr>
          <w:rFonts w:cs="Calibri"/>
          <w:b/>
        </w:rPr>
      </w:pPr>
      <w:r w:rsidRPr="00D12853">
        <w:rPr>
          <w:rFonts w:cs="Calibri"/>
          <w:b/>
        </w:rPr>
        <w:t>Subcontractors</w:t>
      </w:r>
    </w:p>
    <w:p w:rsidR="005A466C" w:rsidRDefault="005A466C" w:rsidP="00FE2E07">
      <w:pPr>
        <w:autoSpaceDE w:val="0"/>
        <w:autoSpaceDN w:val="0"/>
        <w:adjustRightInd w:val="0"/>
        <w:jc w:val="both"/>
        <w:rPr>
          <w:rFonts w:cs="Calibri"/>
        </w:rPr>
      </w:pPr>
    </w:p>
    <w:p w:rsidR="00554EDF" w:rsidRDefault="00554EDF" w:rsidP="00FE2E07">
      <w:pPr>
        <w:autoSpaceDE w:val="0"/>
        <w:autoSpaceDN w:val="0"/>
        <w:adjustRightInd w:val="0"/>
        <w:jc w:val="both"/>
      </w:pPr>
      <w:r w:rsidRPr="00074F4D">
        <w:rPr>
          <w:rFonts w:cs="Calibri"/>
        </w:rPr>
        <w:t>TCE will allow grantees to include allocations for subcontractors.  Subcontractors</w:t>
      </w:r>
      <w:r w:rsidR="00906CF1">
        <w:rPr>
          <w:rFonts w:cs="Calibri"/>
        </w:rPr>
        <w:t>/consultants</w:t>
      </w:r>
      <w:r w:rsidRPr="00074F4D">
        <w:rPr>
          <w:rFonts w:cs="Calibri"/>
        </w:rPr>
        <w:t xml:space="preserve"> must con</w:t>
      </w:r>
      <w:r w:rsidR="00906CF1">
        <w:rPr>
          <w:rFonts w:cs="Calibri"/>
        </w:rPr>
        <w:t>tract directly with the grantee. Subcontractors</w:t>
      </w:r>
      <w:r w:rsidRPr="00074F4D">
        <w:rPr>
          <w:rFonts w:cs="Calibri"/>
        </w:rPr>
        <w:t xml:space="preserve"> may be organizations or individuals and may include consultant salaries, </w:t>
      </w:r>
      <w:r w:rsidR="005A466C">
        <w:rPr>
          <w:rFonts w:cs="Calibri"/>
        </w:rPr>
        <w:t xml:space="preserve">or </w:t>
      </w:r>
      <w:r>
        <w:rPr>
          <w:rFonts w:cs="Calibri"/>
        </w:rPr>
        <w:t>local mini-grants</w:t>
      </w:r>
      <w:r w:rsidRPr="00074F4D">
        <w:rPr>
          <w:rFonts w:cs="Calibri"/>
        </w:rPr>
        <w:t xml:space="preserve">.  Subcontractors may not be staff employed by the grantee.  </w:t>
      </w:r>
      <w:r>
        <w:t>Subcontractors may be included</w:t>
      </w:r>
      <w:r w:rsidR="00122046">
        <w:t xml:space="preserve"> in the budget</w:t>
      </w:r>
      <w:r>
        <w:t xml:space="preserve"> provided:</w:t>
      </w:r>
    </w:p>
    <w:p w:rsidR="005921C0" w:rsidRPr="00074F4D" w:rsidRDefault="005921C0" w:rsidP="00FE2E07">
      <w:pPr>
        <w:autoSpaceDE w:val="0"/>
        <w:autoSpaceDN w:val="0"/>
        <w:adjustRightInd w:val="0"/>
        <w:jc w:val="both"/>
        <w:rPr>
          <w:rFonts w:cs="Calibri"/>
        </w:rPr>
      </w:pPr>
    </w:p>
    <w:p w:rsidR="00554EDF" w:rsidRDefault="00554EDF" w:rsidP="008C3BAE">
      <w:pPr>
        <w:numPr>
          <w:ilvl w:val="0"/>
          <w:numId w:val="11"/>
        </w:numPr>
        <w:autoSpaceDE w:val="0"/>
        <w:autoSpaceDN w:val="0"/>
        <w:adjustRightInd w:val="0"/>
        <w:jc w:val="both"/>
        <w:rPr>
          <w:rFonts w:cs="Calibri"/>
        </w:rPr>
      </w:pPr>
      <w:r w:rsidRPr="00074F4D">
        <w:rPr>
          <w:rFonts w:cs="Calibri"/>
        </w:rPr>
        <w:t>Subcontractor costs are listed in the budget’s Other Costs category by type of work or contract and not by subcontractor name, and</w:t>
      </w:r>
    </w:p>
    <w:p w:rsidR="00E83E36" w:rsidRPr="00074F4D" w:rsidRDefault="00E83E36" w:rsidP="008C3BAE">
      <w:pPr>
        <w:autoSpaceDE w:val="0"/>
        <w:autoSpaceDN w:val="0"/>
        <w:adjustRightInd w:val="0"/>
        <w:ind w:left="360"/>
        <w:jc w:val="both"/>
        <w:rPr>
          <w:rFonts w:cs="Calibri"/>
        </w:rPr>
      </w:pPr>
    </w:p>
    <w:p w:rsidR="00554EDF" w:rsidRDefault="005A466C" w:rsidP="008C3BAE">
      <w:pPr>
        <w:numPr>
          <w:ilvl w:val="0"/>
          <w:numId w:val="11"/>
        </w:numPr>
        <w:jc w:val="both"/>
        <w:rPr>
          <w:rFonts w:cs="Calibri"/>
        </w:rPr>
      </w:pPr>
      <w:r>
        <w:rPr>
          <w:rFonts w:cs="Calibri"/>
        </w:rPr>
        <w:t>The names of the s</w:t>
      </w:r>
      <w:r w:rsidR="00554EDF" w:rsidRPr="00074F4D">
        <w:rPr>
          <w:rFonts w:cs="Calibri"/>
        </w:rPr>
        <w:t xml:space="preserve">ubcontractors </w:t>
      </w:r>
      <w:r>
        <w:rPr>
          <w:rFonts w:cs="Calibri"/>
        </w:rPr>
        <w:t>should be provided to the</w:t>
      </w:r>
      <w:r w:rsidR="00554EDF" w:rsidRPr="00074F4D">
        <w:rPr>
          <w:rFonts w:cs="Calibri"/>
        </w:rPr>
        <w:t xml:space="preserve"> </w:t>
      </w:r>
      <w:r w:rsidR="00554EDF">
        <w:rPr>
          <w:rFonts w:cs="Calibri"/>
        </w:rPr>
        <w:t>PM</w:t>
      </w:r>
      <w:r>
        <w:rPr>
          <w:rFonts w:cs="Calibri"/>
        </w:rPr>
        <w:t xml:space="preserve"> separately so that</w:t>
      </w:r>
      <w:r w:rsidR="00554EDF" w:rsidRPr="00074F4D">
        <w:rPr>
          <w:rFonts w:cs="Calibri"/>
        </w:rPr>
        <w:t xml:space="preserve"> any disclosable</w:t>
      </w:r>
      <w:r w:rsidR="00E83E36">
        <w:rPr>
          <w:rFonts w:cs="Calibri"/>
        </w:rPr>
        <w:t>-</w:t>
      </w:r>
      <w:r w:rsidR="00554EDF" w:rsidRPr="00074F4D">
        <w:rPr>
          <w:rFonts w:cs="Calibri"/>
        </w:rPr>
        <w:t xml:space="preserve">relationship associated with the subcontractor </w:t>
      </w:r>
      <w:r>
        <w:rPr>
          <w:rFonts w:cs="Calibri"/>
        </w:rPr>
        <w:t>can be verified.</w:t>
      </w:r>
    </w:p>
    <w:p w:rsidR="00554EDF" w:rsidRDefault="00554EDF" w:rsidP="008C3BAE">
      <w:pPr>
        <w:jc w:val="both"/>
      </w:pPr>
    </w:p>
    <w:p w:rsidR="00554EDF" w:rsidRPr="00084D6B" w:rsidRDefault="00554EDF" w:rsidP="00FE2E07">
      <w:pPr>
        <w:jc w:val="both"/>
        <w:rPr>
          <w:rFonts w:cs="Calibri"/>
        </w:rPr>
      </w:pPr>
      <w:r w:rsidRPr="00084D6B">
        <w:t xml:space="preserve">All subcontracts </w:t>
      </w:r>
      <w:r w:rsidR="00A708CE">
        <w:t>valued at</w:t>
      </w:r>
      <w:r w:rsidRPr="00084D6B">
        <w:t xml:space="preserve"> $25,000 or greater require</w:t>
      </w:r>
      <w:r>
        <w:t xml:space="preserve"> an additional, separate budget</w:t>
      </w:r>
      <w:r w:rsidRPr="00084D6B">
        <w:t xml:space="preserve"> sp</w:t>
      </w:r>
      <w:r>
        <w:t xml:space="preserve">ecific to that subcontract line.  </w:t>
      </w:r>
      <w:r w:rsidRPr="00084D6B">
        <w:t>The subcontract budget will serve as an Addendum to the larger budget and will use TCE’s standard budget template.</w:t>
      </w:r>
      <w:r>
        <w:t xml:space="preserve">  </w:t>
      </w:r>
    </w:p>
    <w:p w:rsidR="007C1267" w:rsidRPr="00711BC9" w:rsidRDefault="007C1267" w:rsidP="00BB5424">
      <w:pPr>
        <w:autoSpaceDE w:val="0"/>
        <w:autoSpaceDN w:val="0"/>
        <w:adjustRightInd w:val="0"/>
        <w:jc w:val="both"/>
        <w:rPr>
          <w:rFonts w:cs="Calibri"/>
          <w:color w:val="000000"/>
        </w:rPr>
      </w:pPr>
    </w:p>
    <w:p w:rsidR="00554EDF" w:rsidRPr="00BB5424" w:rsidRDefault="008C3580" w:rsidP="00BB5424">
      <w:pPr>
        <w:pStyle w:val="ListParagraph"/>
        <w:numPr>
          <w:ilvl w:val="0"/>
          <w:numId w:val="22"/>
        </w:numPr>
        <w:spacing w:after="120"/>
        <w:jc w:val="both"/>
        <w:rPr>
          <w:bCs/>
        </w:rPr>
      </w:pPr>
      <w:r w:rsidRPr="00BB5424">
        <w:rPr>
          <w:b/>
          <w:bCs/>
        </w:rPr>
        <w:t>Capital and Equipment</w:t>
      </w:r>
    </w:p>
    <w:p w:rsidR="006041EA" w:rsidRDefault="007664F2" w:rsidP="008C3BAE">
      <w:pPr>
        <w:jc w:val="both"/>
        <w:rPr>
          <w:rFonts w:eastAsia="Times New Roman"/>
        </w:rPr>
      </w:pPr>
      <w:r>
        <w:rPr>
          <w:rFonts w:eastAsia="Times New Roman"/>
        </w:rPr>
        <w:t xml:space="preserve">A </w:t>
      </w:r>
      <w:r w:rsidR="00554EDF" w:rsidRPr="00554EDF">
        <w:rPr>
          <w:rFonts w:eastAsia="Times New Roman"/>
        </w:rPr>
        <w:t>Capital</w:t>
      </w:r>
      <w:r>
        <w:rPr>
          <w:rFonts w:eastAsia="Times New Roman"/>
        </w:rPr>
        <w:t xml:space="preserve"> line</w:t>
      </w:r>
      <w:r w:rsidR="00554EDF" w:rsidRPr="00554EDF">
        <w:rPr>
          <w:rFonts w:eastAsia="Times New Roman"/>
        </w:rPr>
        <w:t xml:space="preserve"> </w:t>
      </w:r>
      <w:r w:rsidR="00554EDF">
        <w:rPr>
          <w:rFonts w:eastAsia="Times New Roman"/>
        </w:rPr>
        <w:t>item</w:t>
      </w:r>
      <w:r>
        <w:rPr>
          <w:rFonts w:eastAsia="Times New Roman"/>
        </w:rPr>
        <w:t xml:space="preserve"> must equal at least $5,000 and may</w:t>
      </w:r>
      <w:r w:rsidR="00554EDF">
        <w:rPr>
          <w:rFonts w:eastAsia="Times New Roman"/>
        </w:rPr>
        <w:t xml:space="preserve"> include expenditures for land acquisition, construction costs, and physical renovation.  TCE will fund capital expenditures for up to $500,000 or 20% of the </w:t>
      </w:r>
      <w:r>
        <w:rPr>
          <w:rFonts w:eastAsia="Times New Roman"/>
        </w:rPr>
        <w:t>grant amount</w:t>
      </w:r>
      <w:r w:rsidR="00554EDF">
        <w:rPr>
          <w:rFonts w:eastAsia="Times New Roman"/>
        </w:rPr>
        <w:t xml:space="preserve"> (whichever is less). </w:t>
      </w:r>
      <w:r w:rsidR="00554EDF" w:rsidRPr="00554EDF">
        <w:rPr>
          <w:rFonts w:eastAsia="Times New Roman"/>
        </w:rPr>
        <w:t>Equipment</w:t>
      </w:r>
      <w:r w:rsidR="00554EDF">
        <w:rPr>
          <w:rFonts w:eastAsia="Times New Roman"/>
        </w:rPr>
        <w:t xml:space="preserve"> line items include purchases or leases of Equipment</w:t>
      </w:r>
      <w:r w:rsidR="00715D17">
        <w:rPr>
          <w:rFonts w:eastAsia="Times New Roman"/>
        </w:rPr>
        <w:t xml:space="preserve"> for at least $5,000</w:t>
      </w:r>
      <w:r w:rsidR="00554EDF">
        <w:rPr>
          <w:rFonts w:eastAsia="Times New Roman"/>
        </w:rPr>
        <w:t xml:space="preserve"> that will be depreciated</w:t>
      </w:r>
      <w:r w:rsidR="006C0834">
        <w:rPr>
          <w:rFonts w:eastAsia="Times New Roman"/>
        </w:rPr>
        <w:t>.</w:t>
      </w:r>
      <w:r w:rsidR="00554EDF">
        <w:rPr>
          <w:rFonts w:eastAsia="Times New Roman"/>
        </w:rPr>
        <w:t xml:space="preserve"> </w:t>
      </w:r>
    </w:p>
    <w:p w:rsidR="00D0795C" w:rsidRDefault="00D0795C" w:rsidP="00FF666F">
      <w:pPr>
        <w:spacing w:after="120"/>
        <w:jc w:val="center"/>
        <w:rPr>
          <w:b/>
          <w:bCs/>
        </w:rPr>
      </w:pPr>
    </w:p>
    <w:p w:rsidR="00044E99" w:rsidRPr="00196AA2" w:rsidRDefault="0029398E" w:rsidP="00FF666F">
      <w:pPr>
        <w:spacing w:after="120"/>
        <w:jc w:val="center"/>
        <w:rPr>
          <w:b/>
          <w:bCs/>
          <w:sz w:val="24"/>
          <w:szCs w:val="24"/>
        </w:rPr>
      </w:pPr>
      <w:r w:rsidRPr="00196AA2">
        <w:rPr>
          <w:b/>
          <w:bCs/>
          <w:sz w:val="24"/>
          <w:szCs w:val="24"/>
        </w:rPr>
        <w:t>The Organizational Budget Figure</w:t>
      </w:r>
    </w:p>
    <w:p w:rsidR="0029398E" w:rsidRDefault="0029398E" w:rsidP="008C3BAE">
      <w:pPr>
        <w:rPr>
          <w:bCs/>
        </w:rPr>
      </w:pPr>
      <w:r>
        <w:rPr>
          <w:bCs/>
        </w:rPr>
        <w:t>The organizational budget</w:t>
      </w:r>
      <w:r w:rsidR="006C5AE9">
        <w:rPr>
          <w:bCs/>
        </w:rPr>
        <w:t xml:space="preserve"> figure</w:t>
      </w:r>
      <w:r>
        <w:rPr>
          <w:bCs/>
        </w:rPr>
        <w:t xml:space="preserve"> </w:t>
      </w:r>
      <w:r w:rsidR="006C5AE9">
        <w:rPr>
          <w:bCs/>
        </w:rPr>
        <w:t>represents the organization’s revenues for the most currently completed fiscal year</w:t>
      </w:r>
      <w:r>
        <w:rPr>
          <w:bCs/>
        </w:rPr>
        <w:t>.</w:t>
      </w:r>
    </w:p>
    <w:p w:rsidR="001E6C15" w:rsidRDefault="001E6C15" w:rsidP="008C3BAE">
      <w:pPr>
        <w:rPr>
          <w:bCs/>
        </w:rPr>
      </w:pPr>
    </w:p>
    <w:p w:rsidR="001E6C15" w:rsidRDefault="001E6C15" w:rsidP="008C3BAE">
      <w:pPr>
        <w:rPr>
          <w:bCs/>
        </w:rPr>
      </w:pPr>
    </w:p>
    <w:p w:rsidR="009C63D3" w:rsidRDefault="009C63D3" w:rsidP="001E6C15">
      <w:pPr>
        <w:jc w:val="center"/>
        <w:rPr>
          <w:b/>
          <w:bCs/>
          <w:color w:val="F79646" w:themeColor="accent6"/>
          <w:sz w:val="28"/>
          <w:szCs w:val="28"/>
        </w:rPr>
      </w:pPr>
    </w:p>
    <w:p w:rsidR="009C63D3" w:rsidRDefault="009C63D3" w:rsidP="001E6C15">
      <w:pPr>
        <w:jc w:val="center"/>
        <w:rPr>
          <w:b/>
          <w:bCs/>
          <w:color w:val="F79646" w:themeColor="accent6"/>
          <w:sz w:val="28"/>
          <w:szCs w:val="28"/>
        </w:rPr>
      </w:pPr>
    </w:p>
    <w:p w:rsidR="001E6C15" w:rsidRDefault="001E6C15" w:rsidP="001E6C15">
      <w:pPr>
        <w:jc w:val="center"/>
        <w:rPr>
          <w:b/>
          <w:bCs/>
          <w:color w:val="F79646" w:themeColor="accent6"/>
          <w:sz w:val="28"/>
          <w:szCs w:val="28"/>
        </w:rPr>
      </w:pPr>
      <w:r w:rsidRPr="001E6C15">
        <w:rPr>
          <w:b/>
          <w:bCs/>
          <w:color w:val="F79646" w:themeColor="accent6"/>
          <w:sz w:val="28"/>
          <w:szCs w:val="28"/>
        </w:rPr>
        <w:t>FAQ’S</w:t>
      </w:r>
    </w:p>
    <w:p w:rsidR="00C041B3" w:rsidRPr="001E6C15" w:rsidRDefault="00C041B3" w:rsidP="001E6C15">
      <w:pPr>
        <w:jc w:val="center"/>
        <w:rPr>
          <w:b/>
          <w:bCs/>
          <w:color w:val="F79646" w:themeColor="accent6"/>
          <w:sz w:val="28"/>
          <w:szCs w:val="28"/>
        </w:rPr>
      </w:pPr>
    </w:p>
    <w:p w:rsidR="001E6C15" w:rsidRDefault="001E6C15" w:rsidP="00C041B3">
      <w:pPr>
        <w:spacing w:after="120"/>
        <w:jc w:val="center"/>
        <w:rPr>
          <w:bCs/>
        </w:rPr>
      </w:pPr>
      <w:r>
        <w:rPr>
          <w:b/>
          <w:bCs/>
          <w:color w:val="E36C0A" w:themeColor="accent6" w:themeShade="BF"/>
          <w:sz w:val="24"/>
          <w:szCs w:val="24"/>
        </w:rPr>
        <w:t>Frequently Asked Questions</w:t>
      </w:r>
      <w:r w:rsidR="00781EA3">
        <w:rPr>
          <w:b/>
          <w:bCs/>
          <w:color w:val="E36C0A" w:themeColor="accent6" w:themeShade="BF"/>
          <w:sz w:val="24"/>
          <w:szCs w:val="24"/>
        </w:rPr>
        <w:t xml:space="preserve"> about Grant Budgets</w:t>
      </w:r>
    </w:p>
    <w:p w:rsidR="00321240" w:rsidRDefault="00321240" w:rsidP="008C3BAE">
      <w:pPr>
        <w:rPr>
          <w:bCs/>
        </w:rPr>
      </w:pPr>
    </w:p>
    <w:p w:rsidR="001E6C15" w:rsidRPr="001E6C15" w:rsidRDefault="001E6C15" w:rsidP="001E6C15">
      <w:pPr>
        <w:pStyle w:val="ListParagraph"/>
        <w:numPr>
          <w:ilvl w:val="1"/>
          <w:numId w:val="11"/>
        </w:numPr>
        <w:spacing w:after="120"/>
        <w:rPr>
          <w:b/>
          <w:bCs/>
          <w:u w:val="single"/>
        </w:rPr>
      </w:pPr>
      <w:r>
        <w:rPr>
          <w:b/>
          <w:bCs/>
        </w:rPr>
        <w:t>Can I reflect In-Kind Support in the Project Budget?</w:t>
      </w:r>
    </w:p>
    <w:p w:rsidR="001E6C15" w:rsidRDefault="001E6C15" w:rsidP="001E6C15">
      <w:pPr>
        <w:pStyle w:val="ListParagraph"/>
        <w:spacing w:after="120"/>
        <w:ind w:left="360"/>
        <w:jc w:val="both"/>
      </w:pPr>
    </w:p>
    <w:p w:rsidR="001E6C15" w:rsidRDefault="001E6C15" w:rsidP="001E6C15">
      <w:pPr>
        <w:pStyle w:val="ListParagraph"/>
        <w:spacing w:after="120"/>
        <w:ind w:left="360"/>
        <w:jc w:val="both"/>
      </w:pPr>
      <w:r>
        <w:t>In-kind support is the value of contributions to the organization’s project made by volunteers or other types of donated items or services. In-kind support may be included in the Project Budget if the in-kind support represents a significant portion of the project and is integral to the project's operations. If it is included, however, TCE will not fund this type of support and the amount reflected in the “Request to TCE” columns should be zero. In addition, the value of In-kind support should not be reflected in the organizational budget figure.</w:t>
      </w:r>
    </w:p>
    <w:p w:rsidR="00F5500D" w:rsidRDefault="00F5500D" w:rsidP="001E6C15">
      <w:pPr>
        <w:pStyle w:val="ListParagraph"/>
        <w:spacing w:after="120"/>
        <w:ind w:left="360"/>
        <w:jc w:val="both"/>
      </w:pPr>
    </w:p>
    <w:p w:rsidR="00F5500D" w:rsidRDefault="001E6E85" w:rsidP="00F5500D">
      <w:pPr>
        <w:pStyle w:val="ListParagraph"/>
        <w:numPr>
          <w:ilvl w:val="1"/>
          <w:numId w:val="11"/>
        </w:numPr>
        <w:spacing w:after="120"/>
        <w:jc w:val="both"/>
        <w:rPr>
          <w:b/>
        </w:rPr>
      </w:pPr>
      <w:r>
        <w:rPr>
          <w:b/>
        </w:rPr>
        <w:t xml:space="preserve">Do </w:t>
      </w:r>
      <w:r w:rsidR="00F5500D">
        <w:rPr>
          <w:b/>
        </w:rPr>
        <w:t>I</w:t>
      </w:r>
      <w:r>
        <w:rPr>
          <w:b/>
        </w:rPr>
        <w:t xml:space="preserve"> need to</w:t>
      </w:r>
      <w:r w:rsidR="00F5500D">
        <w:rPr>
          <w:b/>
        </w:rPr>
        <w:t xml:space="preserve"> report on expenditures of grant funds?</w:t>
      </w:r>
    </w:p>
    <w:p w:rsidR="0012642C" w:rsidRDefault="0012642C" w:rsidP="0012642C">
      <w:pPr>
        <w:pStyle w:val="ListParagraph"/>
        <w:spacing w:after="120"/>
        <w:ind w:left="1440"/>
        <w:jc w:val="both"/>
        <w:rPr>
          <w:b/>
        </w:rPr>
      </w:pPr>
    </w:p>
    <w:p w:rsidR="00F5500D" w:rsidRPr="00F5500D" w:rsidRDefault="00F5500D" w:rsidP="0012642C">
      <w:pPr>
        <w:pStyle w:val="ListParagraph"/>
        <w:autoSpaceDE w:val="0"/>
        <w:autoSpaceDN w:val="0"/>
        <w:ind w:left="360"/>
      </w:pPr>
      <w:r>
        <w:t xml:space="preserve">For </w:t>
      </w:r>
      <w:r w:rsidR="00FA2EDA">
        <w:t>R</w:t>
      </w:r>
      <w:r>
        <w:t xml:space="preserve">estricted </w:t>
      </w:r>
      <w:r w:rsidR="00FA2EDA">
        <w:t>P</w:t>
      </w:r>
      <w:r>
        <w:t xml:space="preserve">roject grants, </w:t>
      </w:r>
      <w:r w:rsidR="00FA2EDA">
        <w:t>an expenditure report detailing how grant funds have been spent against approved budget line items is required along with each grant report narrative.  The specific schedule for reporting is included in the grant agreement upon award.</w:t>
      </w:r>
      <w:r w:rsidR="00324592">
        <w:t xml:space="preserve"> Any interest earned on grant funds should also be reported on. </w:t>
      </w:r>
      <w:r w:rsidR="0012642C" w:rsidRPr="008120EC">
        <w:rPr>
          <w:rFonts w:cs="Calibri"/>
          <w:color w:val="000000"/>
        </w:rPr>
        <w:t xml:space="preserve">TCE retains the right under its grant agreement, upon written notice, to audit grantee’s books and records relating to grant expenditures. </w:t>
      </w:r>
    </w:p>
    <w:p w:rsidR="001E6C15" w:rsidRDefault="001E6C15" w:rsidP="001E6C15">
      <w:pPr>
        <w:pStyle w:val="ListParagraph"/>
        <w:spacing w:after="120"/>
        <w:ind w:left="1440"/>
        <w:rPr>
          <w:b/>
          <w:bCs/>
          <w:u w:val="single"/>
        </w:rPr>
      </w:pPr>
    </w:p>
    <w:p w:rsidR="001E6C15" w:rsidRDefault="001E6C15" w:rsidP="001E6C15">
      <w:pPr>
        <w:pStyle w:val="ListParagraph"/>
        <w:numPr>
          <w:ilvl w:val="1"/>
          <w:numId w:val="11"/>
        </w:numPr>
        <w:spacing w:after="120"/>
        <w:rPr>
          <w:b/>
          <w:bCs/>
        </w:rPr>
      </w:pPr>
      <w:r>
        <w:rPr>
          <w:b/>
          <w:bCs/>
        </w:rPr>
        <w:t>What happens if grant funds are not spent exactly as budgeted?</w:t>
      </w:r>
    </w:p>
    <w:p w:rsidR="008120EC" w:rsidRDefault="008120EC" w:rsidP="008120EC">
      <w:pPr>
        <w:pStyle w:val="ListParagraph"/>
        <w:autoSpaceDE w:val="0"/>
        <w:autoSpaceDN w:val="0"/>
        <w:ind w:left="360"/>
        <w:rPr>
          <w:rFonts w:cs="Calibri"/>
          <w:color w:val="000000"/>
        </w:rPr>
      </w:pPr>
    </w:p>
    <w:p w:rsidR="008120EC" w:rsidRDefault="008120EC" w:rsidP="008120EC">
      <w:pPr>
        <w:pStyle w:val="ListParagraph"/>
        <w:autoSpaceDE w:val="0"/>
        <w:autoSpaceDN w:val="0"/>
        <w:ind w:left="360"/>
        <w:rPr>
          <w:rFonts w:cs="Calibri"/>
          <w:color w:val="000000"/>
        </w:rPr>
      </w:pPr>
      <w:r w:rsidRPr="008120EC">
        <w:rPr>
          <w:rFonts w:cs="Calibri"/>
          <w:color w:val="000000"/>
        </w:rPr>
        <w:t xml:space="preserve">TCE will allow grantees up to 100 percent flexibility between the Personnel and Non-Personnel categories, and 100 percent line-item flexibility within those categories, without prior approval, except for changes to or additions of employee benefits or indirect costs or any capital expenditure, consultant cost or incentive.  Changes to the preceding exceptions may be allowed, but only with prior written consent by TCE.  Line-item flexibility notwithstanding, each grantee must use all funding provided in a TCE grant pursuant strictly to the outcomes listed in that grant agreement and </w:t>
      </w:r>
      <w:r w:rsidR="001E6E85">
        <w:rPr>
          <w:rFonts w:cs="Calibri"/>
          <w:color w:val="000000"/>
        </w:rPr>
        <w:t xml:space="preserve">is </w:t>
      </w:r>
      <w:r w:rsidRPr="008120EC">
        <w:rPr>
          <w:rFonts w:cs="Calibri"/>
          <w:color w:val="000000"/>
        </w:rPr>
        <w:t xml:space="preserve">required to maintain adequate financial records of the grant-funded activity.  </w:t>
      </w:r>
    </w:p>
    <w:p w:rsidR="00D0795C" w:rsidRDefault="00D0795C" w:rsidP="00D0795C">
      <w:pPr>
        <w:pStyle w:val="ListParagraph"/>
        <w:autoSpaceDE w:val="0"/>
        <w:autoSpaceDN w:val="0"/>
        <w:ind w:left="1440"/>
        <w:rPr>
          <w:rFonts w:cs="Calibri"/>
          <w:b/>
          <w:color w:val="000000"/>
        </w:rPr>
      </w:pPr>
    </w:p>
    <w:p w:rsidR="008120EC" w:rsidRDefault="008120EC" w:rsidP="008120EC">
      <w:pPr>
        <w:pStyle w:val="ListParagraph"/>
        <w:numPr>
          <w:ilvl w:val="1"/>
          <w:numId w:val="11"/>
        </w:numPr>
        <w:autoSpaceDE w:val="0"/>
        <w:autoSpaceDN w:val="0"/>
        <w:rPr>
          <w:rFonts w:cs="Calibri"/>
          <w:b/>
          <w:color w:val="000000"/>
        </w:rPr>
      </w:pPr>
      <w:r>
        <w:rPr>
          <w:rFonts w:cs="Calibri"/>
          <w:b/>
          <w:color w:val="000000"/>
        </w:rPr>
        <w:t>What happens if at the end of the grant period, the grant work is not completed, and some grant funds remain unexpended?</w:t>
      </w:r>
    </w:p>
    <w:p w:rsidR="008120EC" w:rsidRDefault="008120EC" w:rsidP="008120EC">
      <w:pPr>
        <w:pStyle w:val="ListParagraph"/>
        <w:autoSpaceDE w:val="0"/>
        <w:autoSpaceDN w:val="0"/>
        <w:ind w:left="1440"/>
        <w:rPr>
          <w:rFonts w:cs="Calibri"/>
          <w:b/>
          <w:color w:val="000000"/>
        </w:rPr>
      </w:pPr>
    </w:p>
    <w:p w:rsidR="00781EA3" w:rsidRDefault="009C63D3" w:rsidP="009C63D3">
      <w:pPr>
        <w:pStyle w:val="ListParagraph"/>
        <w:autoSpaceDE w:val="0"/>
        <w:autoSpaceDN w:val="0"/>
        <w:adjustRightInd w:val="0"/>
        <w:ind w:left="360"/>
        <w:rPr>
          <w:rFonts w:cs="Calibri"/>
          <w:color w:val="000000"/>
        </w:rPr>
      </w:pPr>
      <w:r>
        <w:rPr>
          <w:rFonts w:cs="Calibri"/>
          <w:color w:val="000000"/>
        </w:rPr>
        <w:t xml:space="preserve">Upon the grantee’s request to the Program Manager, </w:t>
      </w:r>
      <w:r w:rsidR="008120EC" w:rsidRPr="008120EC">
        <w:rPr>
          <w:rFonts w:cs="Calibri"/>
          <w:color w:val="000000"/>
        </w:rPr>
        <w:t>TCE will allow a one-time 90-day extension of a grant’s end date provided no additional funding is required</w:t>
      </w:r>
      <w:r>
        <w:rPr>
          <w:rFonts w:cs="Calibri"/>
          <w:color w:val="000000"/>
        </w:rPr>
        <w:t>.</w:t>
      </w:r>
      <w:r w:rsidR="008120EC" w:rsidRPr="008120EC">
        <w:rPr>
          <w:rFonts w:cs="Calibri"/>
          <w:color w:val="000000"/>
        </w:rPr>
        <w:t xml:space="preserve"> </w:t>
      </w:r>
      <w:r>
        <w:rPr>
          <w:rFonts w:cs="Calibri"/>
          <w:color w:val="000000"/>
        </w:rPr>
        <w:t xml:space="preserve"> A final expenditure report will be due at the end of the extended period.</w:t>
      </w:r>
    </w:p>
    <w:p w:rsidR="009C63D3" w:rsidRDefault="009C63D3" w:rsidP="009C63D3">
      <w:pPr>
        <w:pStyle w:val="ListParagraph"/>
        <w:autoSpaceDE w:val="0"/>
        <w:autoSpaceDN w:val="0"/>
        <w:adjustRightInd w:val="0"/>
        <w:ind w:left="360"/>
        <w:rPr>
          <w:rFonts w:cs="Calibri"/>
          <w:color w:val="000000"/>
        </w:rPr>
      </w:pPr>
    </w:p>
    <w:p w:rsidR="009C63D3" w:rsidRDefault="009C63D3" w:rsidP="009C63D3">
      <w:pPr>
        <w:pStyle w:val="ListParagraph"/>
        <w:autoSpaceDE w:val="0"/>
        <w:autoSpaceDN w:val="0"/>
        <w:adjustRightInd w:val="0"/>
        <w:ind w:left="360"/>
        <w:rPr>
          <w:rFonts w:cs="Calibri"/>
          <w:color w:val="000000"/>
        </w:rPr>
      </w:pPr>
    </w:p>
    <w:p w:rsidR="009C63D3" w:rsidRDefault="009C63D3" w:rsidP="009C63D3">
      <w:pPr>
        <w:pStyle w:val="ListParagraph"/>
        <w:autoSpaceDE w:val="0"/>
        <w:autoSpaceDN w:val="0"/>
        <w:adjustRightInd w:val="0"/>
        <w:ind w:left="360"/>
        <w:rPr>
          <w:rFonts w:cs="Calibri"/>
          <w:color w:val="000000"/>
        </w:rPr>
      </w:pPr>
    </w:p>
    <w:p w:rsidR="009C63D3" w:rsidRDefault="009C63D3" w:rsidP="009C63D3">
      <w:pPr>
        <w:pStyle w:val="ListParagraph"/>
        <w:autoSpaceDE w:val="0"/>
        <w:autoSpaceDN w:val="0"/>
        <w:adjustRightInd w:val="0"/>
        <w:ind w:left="360"/>
        <w:rPr>
          <w:rFonts w:cs="Calibri"/>
          <w:b/>
          <w:color w:val="000000"/>
        </w:rPr>
      </w:pPr>
    </w:p>
    <w:p w:rsidR="00781EA3" w:rsidRDefault="00781EA3" w:rsidP="003A71EC">
      <w:pPr>
        <w:pStyle w:val="ListParagraph"/>
        <w:autoSpaceDE w:val="0"/>
        <w:autoSpaceDN w:val="0"/>
        <w:ind w:left="1440"/>
        <w:rPr>
          <w:rFonts w:cs="Calibri"/>
          <w:b/>
          <w:color w:val="000000"/>
        </w:rPr>
      </w:pPr>
    </w:p>
    <w:p w:rsidR="009C63D3" w:rsidRDefault="009C63D3" w:rsidP="009C63D3">
      <w:pPr>
        <w:pStyle w:val="ListParagraph"/>
        <w:autoSpaceDE w:val="0"/>
        <w:autoSpaceDN w:val="0"/>
        <w:ind w:left="1440"/>
        <w:rPr>
          <w:rFonts w:cs="Calibri"/>
          <w:b/>
          <w:color w:val="000000"/>
        </w:rPr>
      </w:pPr>
    </w:p>
    <w:p w:rsidR="009C63D3" w:rsidRDefault="009C63D3" w:rsidP="009C63D3">
      <w:pPr>
        <w:pStyle w:val="ListParagraph"/>
        <w:autoSpaceDE w:val="0"/>
        <w:autoSpaceDN w:val="0"/>
        <w:ind w:left="1440"/>
        <w:rPr>
          <w:rFonts w:cs="Calibri"/>
          <w:b/>
          <w:color w:val="000000"/>
        </w:rPr>
      </w:pPr>
    </w:p>
    <w:p w:rsidR="008120EC" w:rsidRPr="008120EC" w:rsidRDefault="008120EC" w:rsidP="008120EC">
      <w:pPr>
        <w:pStyle w:val="ListParagraph"/>
        <w:numPr>
          <w:ilvl w:val="1"/>
          <w:numId w:val="11"/>
        </w:numPr>
        <w:autoSpaceDE w:val="0"/>
        <w:autoSpaceDN w:val="0"/>
        <w:rPr>
          <w:rFonts w:cs="Calibri"/>
          <w:b/>
          <w:color w:val="000000"/>
        </w:rPr>
      </w:pPr>
      <w:r w:rsidRPr="008120EC">
        <w:rPr>
          <w:rFonts w:cs="Calibri"/>
          <w:b/>
          <w:color w:val="000000"/>
        </w:rPr>
        <w:t>What happens if upon completion of the grant work</w:t>
      </w:r>
      <w:r w:rsidR="00F54398">
        <w:rPr>
          <w:rFonts w:cs="Calibri"/>
          <w:b/>
          <w:color w:val="000000"/>
        </w:rPr>
        <w:t>,</w:t>
      </w:r>
      <w:r w:rsidRPr="008120EC">
        <w:rPr>
          <w:rFonts w:cs="Calibri"/>
          <w:b/>
          <w:color w:val="000000"/>
        </w:rPr>
        <w:t xml:space="preserve"> some grant funds remain unexpended?</w:t>
      </w:r>
    </w:p>
    <w:p w:rsidR="00D06A69" w:rsidRPr="00074F4D" w:rsidRDefault="00D06A69" w:rsidP="00D06A69">
      <w:pPr>
        <w:rPr>
          <w:rFonts w:cs="Calibri"/>
        </w:rPr>
      </w:pPr>
      <w:r w:rsidRPr="00074F4D">
        <w:rPr>
          <w:rFonts w:cs="Calibri"/>
        </w:rPr>
        <w:t>For grants for which TCE does not take expenditure responsibility:</w:t>
      </w:r>
    </w:p>
    <w:p w:rsidR="00D06A69" w:rsidRPr="00074F4D" w:rsidRDefault="00D06A69" w:rsidP="00D06A69">
      <w:pPr>
        <w:rPr>
          <w:rFonts w:cs="Calibri"/>
        </w:rPr>
      </w:pPr>
    </w:p>
    <w:p w:rsidR="00D06A69" w:rsidRDefault="00D06A69" w:rsidP="00D06A69">
      <w:pPr>
        <w:pStyle w:val="ListParagraph"/>
        <w:numPr>
          <w:ilvl w:val="0"/>
          <w:numId w:val="44"/>
        </w:numPr>
        <w:spacing w:after="0" w:line="240" w:lineRule="auto"/>
        <w:contextualSpacing w:val="0"/>
        <w:rPr>
          <w:rFonts w:cs="Calibri"/>
        </w:rPr>
      </w:pPr>
      <w:r w:rsidRPr="00074F4D">
        <w:rPr>
          <w:rFonts w:cs="Calibri"/>
        </w:rPr>
        <w:t>W</w:t>
      </w:r>
      <w:r>
        <w:rPr>
          <w:rFonts w:cs="Calibri"/>
        </w:rPr>
        <w:t xml:space="preserve">hen the unexpended funds total 5% </w:t>
      </w:r>
      <w:r w:rsidRPr="00074F4D">
        <w:rPr>
          <w:rFonts w:cs="Calibri"/>
        </w:rPr>
        <w:t>or less</w:t>
      </w:r>
      <w:r>
        <w:rPr>
          <w:rFonts w:cs="Calibri"/>
        </w:rPr>
        <w:t xml:space="preserve"> of the grant total (including interest income)</w:t>
      </w:r>
      <w:r w:rsidRPr="00074F4D">
        <w:rPr>
          <w:rFonts w:cs="Calibri"/>
        </w:rPr>
        <w:t xml:space="preserve">, the grantee need not return the funds to TCE provided it uses them in a manner consistent with the grant.  </w:t>
      </w:r>
      <w:r>
        <w:rPr>
          <w:rFonts w:cs="Calibri"/>
        </w:rPr>
        <w:t>N</w:t>
      </w:r>
      <w:r w:rsidRPr="00074F4D">
        <w:rPr>
          <w:rFonts w:cs="Calibri"/>
        </w:rPr>
        <w:t>o subsequent expenditure report from the grantee is required.</w:t>
      </w:r>
    </w:p>
    <w:p w:rsidR="00D06A69" w:rsidRPr="00074F4D" w:rsidRDefault="00D06A69" w:rsidP="00D06A69">
      <w:pPr>
        <w:pStyle w:val="ListParagraph"/>
        <w:spacing w:after="0" w:line="240" w:lineRule="auto"/>
        <w:contextualSpacing w:val="0"/>
        <w:rPr>
          <w:rFonts w:cs="Calibri"/>
        </w:rPr>
      </w:pPr>
    </w:p>
    <w:p w:rsidR="00D06A69" w:rsidRDefault="00D06A69" w:rsidP="00D06A69">
      <w:pPr>
        <w:pStyle w:val="ListParagraph"/>
        <w:numPr>
          <w:ilvl w:val="0"/>
          <w:numId w:val="44"/>
        </w:numPr>
        <w:spacing w:after="0" w:line="240" w:lineRule="auto"/>
        <w:contextualSpacing w:val="0"/>
        <w:rPr>
          <w:rFonts w:cs="Calibri"/>
        </w:rPr>
      </w:pPr>
      <w:r w:rsidRPr="00D06A69">
        <w:rPr>
          <w:rFonts w:cs="Calibri"/>
        </w:rPr>
        <w:t xml:space="preserve">When the unexpended funds total more than 5% of the grant total (including interest income), </w:t>
      </w:r>
      <w:r>
        <w:rPr>
          <w:rFonts w:cs="Calibri"/>
        </w:rPr>
        <w:t>t</w:t>
      </w:r>
      <w:r w:rsidRPr="00D06A69">
        <w:rPr>
          <w:rFonts w:cs="Calibri"/>
        </w:rPr>
        <w:t>he grantee must return the funds.</w:t>
      </w:r>
    </w:p>
    <w:p w:rsidR="00D06A69" w:rsidRPr="00074F4D" w:rsidRDefault="00D06A69" w:rsidP="00D06A69">
      <w:pPr>
        <w:pStyle w:val="ListParagraph"/>
        <w:spacing w:after="0" w:line="240" w:lineRule="auto"/>
        <w:contextualSpacing w:val="0"/>
        <w:rPr>
          <w:rFonts w:cs="Calibri"/>
        </w:rPr>
      </w:pPr>
      <w:r w:rsidRPr="00D06A69">
        <w:rPr>
          <w:rFonts w:cs="Calibri"/>
        </w:rPr>
        <w:t xml:space="preserve"> </w:t>
      </w:r>
    </w:p>
    <w:p w:rsidR="00D06A69" w:rsidRPr="00074F4D" w:rsidRDefault="00D06A69" w:rsidP="00D06A69">
      <w:pPr>
        <w:rPr>
          <w:rFonts w:cs="Calibri"/>
        </w:rPr>
      </w:pPr>
      <w:r w:rsidRPr="00074F4D">
        <w:rPr>
          <w:rFonts w:cs="Calibri"/>
        </w:rPr>
        <w:t>For expenditure responsibility grants:</w:t>
      </w:r>
    </w:p>
    <w:p w:rsidR="00D06A69" w:rsidRPr="00074F4D" w:rsidRDefault="00D06A69" w:rsidP="00D06A69">
      <w:pPr>
        <w:rPr>
          <w:rFonts w:cs="Calibri"/>
        </w:rPr>
      </w:pPr>
    </w:p>
    <w:p w:rsidR="008120EC" w:rsidRPr="00D06A69" w:rsidRDefault="00D06A69" w:rsidP="008120EC">
      <w:pPr>
        <w:pStyle w:val="ListParagraph"/>
        <w:numPr>
          <w:ilvl w:val="0"/>
          <w:numId w:val="44"/>
        </w:numPr>
        <w:autoSpaceDE w:val="0"/>
        <w:autoSpaceDN w:val="0"/>
        <w:spacing w:after="0" w:line="240" w:lineRule="auto"/>
        <w:contextualSpacing w:val="0"/>
        <w:rPr>
          <w:rFonts w:cs="Calibri"/>
          <w:b/>
          <w:color w:val="000000"/>
        </w:rPr>
      </w:pPr>
      <w:r w:rsidRPr="00D06A69">
        <w:rPr>
          <w:rFonts w:cs="Calibri"/>
        </w:rPr>
        <w:t>When there are any unexpended funds, no matter the amount, the funds must be returned</w:t>
      </w:r>
      <w:r>
        <w:rPr>
          <w:rFonts w:cs="Calibri"/>
        </w:rPr>
        <w:t>.</w:t>
      </w:r>
    </w:p>
    <w:p w:rsidR="008120EC" w:rsidRDefault="008120EC" w:rsidP="008120EC">
      <w:pPr>
        <w:pStyle w:val="ListParagraph"/>
        <w:autoSpaceDE w:val="0"/>
        <w:autoSpaceDN w:val="0"/>
        <w:ind w:left="360"/>
        <w:rPr>
          <w:rFonts w:cs="Calibri"/>
          <w:color w:val="000000"/>
        </w:rPr>
      </w:pPr>
    </w:p>
    <w:p w:rsidR="008120EC" w:rsidRPr="008120EC" w:rsidRDefault="00DE549F" w:rsidP="008120EC">
      <w:pPr>
        <w:autoSpaceDE w:val="0"/>
        <w:autoSpaceDN w:val="0"/>
        <w:rPr>
          <w:rFonts w:cs="Calibri"/>
          <w:color w:val="000000"/>
        </w:rPr>
      </w:pPr>
      <w:r>
        <w:rPr>
          <w:rFonts w:cs="Calibri"/>
          <w:color w:val="000000"/>
        </w:rPr>
        <w:t>Please contact your Program Manager if you have any other questions regarding TCE grant budget policies.</w:t>
      </w:r>
    </w:p>
    <w:p w:rsidR="001E6C15" w:rsidRPr="001E6C15" w:rsidRDefault="001E6C15" w:rsidP="001E6C15">
      <w:pPr>
        <w:spacing w:after="120"/>
        <w:rPr>
          <w:bCs/>
        </w:rPr>
      </w:pPr>
    </w:p>
    <w:p w:rsidR="000709C0" w:rsidRPr="00D47FCA" w:rsidRDefault="000709C0" w:rsidP="00257F54">
      <w:pPr>
        <w:jc w:val="both"/>
        <w:rPr>
          <w:rFonts w:cs="Calibri"/>
        </w:rPr>
      </w:pPr>
      <w:r>
        <w:rPr>
          <w:rFonts w:cs="Calibri"/>
        </w:rPr>
        <w:t xml:space="preserve"> </w:t>
      </w:r>
    </w:p>
    <w:sectPr w:rsidR="000709C0" w:rsidRPr="00D47FCA" w:rsidSect="00092F7D">
      <w:headerReference w:type="default" r:id="rId9"/>
      <w:footerReference w:type="default" r:id="rId10"/>
      <w:pgSz w:w="12240" w:h="15840" w:code="1"/>
      <w:pgMar w:top="864" w:right="1080" w:bottom="864" w:left="1296"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1419" w:rsidRDefault="00941419" w:rsidP="00581ACD">
      <w:r>
        <w:separator/>
      </w:r>
    </w:p>
  </w:endnote>
  <w:endnote w:type="continuationSeparator" w:id="0">
    <w:p w:rsidR="00941419" w:rsidRDefault="00941419" w:rsidP="00581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986581"/>
      <w:docPartObj>
        <w:docPartGallery w:val="Page Numbers (Bottom of Page)"/>
        <w:docPartUnique/>
      </w:docPartObj>
    </w:sdtPr>
    <w:sdtEndPr>
      <w:rPr>
        <w:color w:val="7F7F7F" w:themeColor="background1" w:themeShade="7F"/>
        <w:spacing w:val="60"/>
      </w:rPr>
    </w:sdtEndPr>
    <w:sdtContent>
      <w:p w:rsidR="00395148" w:rsidRDefault="00B879B2">
        <w:pPr>
          <w:pStyle w:val="Footer"/>
          <w:pBdr>
            <w:top w:val="single" w:sz="4" w:space="1" w:color="D9D9D9" w:themeColor="background1" w:themeShade="D9"/>
          </w:pBdr>
          <w:rPr>
            <w:b/>
          </w:rPr>
        </w:pPr>
        <w:r w:rsidRPr="00EE6804">
          <w:rPr>
            <w:sz w:val="16"/>
            <w:szCs w:val="16"/>
          </w:rPr>
          <w:fldChar w:fldCharType="begin"/>
        </w:r>
        <w:r w:rsidR="00395148" w:rsidRPr="00EE6804">
          <w:rPr>
            <w:sz w:val="16"/>
            <w:szCs w:val="16"/>
          </w:rPr>
          <w:instrText xml:space="preserve"> PAGE   \* MERGEFORMAT </w:instrText>
        </w:r>
        <w:r w:rsidRPr="00EE6804">
          <w:rPr>
            <w:sz w:val="16"/>
            <w:szCs w:val="16"/>
          </w:rPr>
          <w:fldChar w:fldCharType="separate"/>
        </w:r>
        <w:r w:rsidR="00A73AFF" w:rsidRPr="00A73AFF">
          <w:rPr>
            <w:b/>
            <w:noProof/>
            <w:sz w:val="16"/>
            <w:szCs w:val="16"/>
          </w:rPr>
          <w:t>2</w:t>
        </w:r>
        <w:r w:rsidRPr="00EE6804">
          <w:rPr>
            <w:sz w:val="16"/>
            <w:szCs w:val="16"/>
          </w:rPr>
          <w:fldChar w:fldCharType="end"/>
        </w:r>
        <w:r w:rsidR="00395148" w:rsidRPr="00EE6804">
          <w:rPr>
            <w:b/>
            <w:sz w:val="16"/>
            <w:szCs w:val="16"/>
          </w:rPr>
          <w:t xml:space="preserve"> | </w:t>
        </w:r>
        <w:r w:rsidR="00395148" w:rsidRPr="00EE6804">
          <w:rPr>
            <w:color w:val="7F7F7F" w:themeColor="background1" w:themeShade="7F"/>
            <w:spacing w:val="60"/>
            <w:sz w:val="16"/>
            <w:szCs w:val="16"/>
          </w:rPr>
          <w:t>Page</w:t>
        </w:r>
        <w:r w:rsidR="00395148">
          <w:rPr>
            <w:color w:val="7F7F7F" w:themeColor="background1" w:themeShade="7F"/>
            <w:spacing w:val="60"/>
            <w:sz w:val="16"/>
            <w:szCs w:val="16"/>
          </w:rPr>
          <w:t xml:space="preserve"> – </w:t>
        </w:r>
        <w:r w:rsidR="00B4327F">
          <w:rPr>
            <w:color w:val="7F7F7F" w:themeColor="background1" w:themeShade="7F"/>
            <w:spacing w:val="60"/>
            <w:sz w:val="16"/>
            <w:szCs w:val="16"/>
          </w:rPr>
          <w:t>How to Prepare Your Grant Budget</w:t>
        </w:r>
      </w:p>
    </w:sdtContent>
  </w:sdt>
  <w:p w:rsidR="00395148" w:rsidRDefault="003951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1419" w:rsidRDefault="00941419" w:rsidP="00581ACD">
      <w:r>
        <w:separator/>
      </w:r>
    </w:p>
  </w:footnote>
  <w:footnote w:type="continuationSeparator" w:id="0">
    <w:p w:rsidR="00941419" w:rsidRDefault="00941419" w:rsidP="00581A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148" w:rsidRDefault="00477998" w:rsidP="00AE7465">
    <w:pPr>
      <w:pStyle w:val="Header"/>
      <w:jc w:val="center"/>
    </w:pPr>
    <w:r>
      <w:rPr>
        <w:noProof/>
      </w:rPr>
      <w:drawing>
        <wp:inline distT="0" distB="0" distL="0" distR="0">
          <wp:extent cx="1790700" cy="514350"/>
          <wp:effectExtent l="0" t="0" r="0" b="0"/>
          <wp:docPr id="1" name="Picture 1" descr="http://www.calendow.org/resources/resources/TCE_Stacked/tce_stacked_yellow_bl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alendow.org/resources/resources/TCE_Stacked/tce_stacked_yellow_blu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20C2"/>
    <w:multiLevelType w:val="hybridMultilevel"/>
    <w:tmpl w:val="98DA53B2"/>
    <w:lvl w:ilvl="0" w:tplc="CFCEC468">
      <w:start w:val="1"/>
      <w:numFmt w:val="bullet"/>
      <w:lvlText w:val=""/>
      <w:lvlJc w:val="left"/>
      <w:pPr>
        <w:ind w:left="720" w:hanging="360"/>
      </w:pPr>
      <w:rPr>
        <w:rFonts w:ascii="Symbol" w:hAnsi="Symbol" w:hint="default"/>
      </w:rPr>
    </w:lvl>
    <w:lvl w:ilvl="1" w:tplc="3DCAE0EA">
      <w:start w:val="1"/>
      <w:numFmt w:val="decimal"/>
      <w:lvlText w:val="%2."/>
      <w:lvlJc w:val="left"/>
      <w:pPr>
        <w:tabs>
          <w:tab w:val="num" w:pos="1440"/>
        </w:tabs>
        <w:ind w:left="1440" w:hanging="360"/>
      </w:pPr>
    </w:lvl>
    <w:lvl w:ilvl="2" w:tplc="2ACA0682">
      <w:start w:val="1"/>
      <w:numFmt w:val="decimal"/>
      <w:lvlText w:val="%3."/>
      <w:lvlJc w:val="left"/>
      <w:pPr>
        <w:tabs>
          <w:tab w:val="num" w:pos="2160"/>
        </w:tabs>
        <w:ind w:left="2160" w:hanging="360"/>
      </w:pPr>
    </w:lvl>
    <w:lvl w:ilvl="3" w:tplc="F7D2EA8A">
      <w:start w:val="1"/>
      <w:numFmt w:val="decimal"/>
      <w:lvlText w:val="%4."/>
      <w:lvlJc w:val="left"/>
      <w:pPr>
        <w:tabs>
          <w:tab w:val="num" w:pos="2880"/>
        </w:tabs>
        <w:ind w:left="2880" w:hanging="360"/>
      </w:pPr>
    </w:lvl>
    <w:lvl w:ilvl="4" w:tplc="732CFCEC">
      <w:start w:val="1"/>
      <w:numFmt w:val="decimal"/>
      <w:lvlText w:val="%5."/>
      <w:lvlJc w:val="left"/>
      <w:pPr>
        <w:tabs>
          <w:tab w:val="num" w:pos="3600"/>
        </w:tabs>
        <w:ind w:left="3600" w:hanging="360"/>
      </w:pPr>
    </w:lvl>
    <w:lvl w:ilvl="5" w:tplc="AB9630AA">
      <w:start w:val="1"/>
      <w:numFmt w:val="decimal"/>
      <w:lvlText w:val="%6."/>
      <w:lvlJc w:val="left"/>
      <w:pPr>
        <w:tabs>
          <w:tab w:val="num" w:pos="4320"/>
        </w:tabs>
        <w:ind w:left="4320" w:hanging="360"/>
      </w:pPr>
    </w:lvl>
    <w:lvl w:ilvl="6" w:tplc="426CA00A">
      <w:start w:val="1"/>
      <w:numFmt w:val="decimal"/>
      <w:lvlText w:val="%7."/>
      <w:lvlJc w:val="left"/>
      <w:pPr>
        <w:tabs>
          <w:tab w:val="num" w:pos="5040"/>
        </w:tabs>
        <w:ind w:left="5040" w:hanging="360"/>
      </w:pPr>
    </w:lvl>
    <w:lvl w:ilvl="7" w:tplc="4732AE9E">
      <w:start w:val="1"/>
      <w:numFmt w:val="decimal"/>
      <w:lvlText w:val="%8."/>
      <w:lvlJc w:val="left"/>
      <w:pPr>
        <w:tabs>
          <w:tab w:val="num" w:pos="5760"/>
        </w:tabs>
        <w:ind w:left="5760" w:hanging="360"/>
      </w:pPr>
    </w:lvl>
    <w:lvl w:ilvl="8" w:tplc="564E702E">
      <w:start w:val="1"/>
      <w:numFmt w:val="decimal"/>
      <w:lvlText w:val="%9."/>
      <w:lvlJc w:val="left"/>
      <w:pPr>
        <w:tabs>
          <w:tab w:val="num" w:pos="6480"/>
        </w:tabs>
        <w:ind w:left="6480" w:hanging="360"/>
      </w:pPr>
    </w:lvl>
  </w:abstractNum>
  <w:abstractNum w:abstractNumId="1">
    <w:nsid w:val="092327A8"/>
    <w:multiLevelType w:val="hybridMultilevel"/>
    <w:tmpl w:val="AAF0346C"/>
    <w:lvl w:ilvl="0" w:tplc="E29C0BDE">
      <w:start w:val="1"/>
      <w:numFmt w:val="decimal"/>
      <w:lvlText w:val="%1."/>
      <w:lvlJc w:val="left"/>
      <w:pPr>
        <w:ind w:left="1080" w:hanging="36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721EA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FFE1771"/>
    <w:multiLevelType w:val="hybridMultilevel"/>
    <w:tmpl w:val="F3CA46D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43C4562"/>
    <w:multiLevelType w:val="hybridMultilevel"/>
    <w:tmpl w:val="1628592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27273223"/>
    <w:multiLevelType w:val="hybridMultilevel"/>
    <w:tmpl w:val="65AC0F02"/>
    <w:lvl w:ilvl="0" w:tplc="3E165D04">
      <w:start w:val="1"/>
      <w:numFmt w:val="bullet"/>
      <w:lvlText w:val=""/>
      <w:lvlJc w:val="left"/>
      <w:pPr>
        <w:ind w:left="1080" w:hanging="360"/>
      </w:pPr>
      <w:rPr>
        <w:rFonts w:ascii="Symbol" w:hAnsi="Symbol" w:hint="default"/>
      </w:rPr>
    </w:lvl>
    <w:lvl w:ilvl="1" w:tplc="C2C2467A">
      <w:start w:val="1"/>
      <w:numFmt w:val="decimal"/>
      <w:lvlText w:val="%2."/>
      <w:lvlJc w:val="left"/>
      <w:pPr>
        <w:tabs>
          <w:tab w:val="num" w:pos="1440"/>
        </w:tabs>
        <w:ind w:left="1440" w:hanging="360"/>
      </w:pPr>
    </w:lvl>
    <w:lvl w:ilvl="2" w:tplc="1812EF6C">
      <w:start w:val="1"/>
      <w:numFmt w:val="decimal"/>
      <w:lvlText w:val="%3."/>
      <w:lvlJc w:val="left"/>
      <w:pPr>
        <w:tabs>
          <w:tab w:val="num" w:pos="2160"/>
        </w:tabs>
        <w:ind w:left="2160" w:hanging="360"/>
      </w:pPr>
    </w:lvl>
    <w:lvl w:ilvl="3" w:tplc="94C243F6">
      <w:start w:val="1"/>
      <w:numFmt w:val="decimal"/>
      <w:lvlText w:val="%4."/>
      <w:lvlJc w:val="left"/>
      <w:pPr>
        <w:tabs>
          <w:tab w:val="num" w:pos="2880"/>
        </w:tabs>
        <w:ind w:left="2880" w:hanging="360"/>
      </w:pPr>
    </w:lvl>
    <w:lvl w:ilvl="4" w:tplc="BE4A97C0">
      <w:start w:val="1"/>
      <w:numFmt w:val="decimal"/>
      <w:lvlText w:val="%5."/>
      <w:lvlJc w:val="left"/>
      <w:pPr>
        <w:tabs>
          <w:tab w:val="num" w:pos="3600"/>
        </w:tabs>
        <w:ind w:left="3600" w:hanging="360"/>
      </w:pPr>
    </w:lvl>
    <w:lvl w:ilvl="5" w:tplc="35C2C46C">
      <w:start w:val="1"/>
      <w:numFmt w:val="decimal"/>
      <w:lvlText w:val="%6."/>
      <w:lvlJc w:val="left"/>
      <w:pPr>
        <w:tabs>
          <w:tab w:val="num" w:pos="4320"/>
        </w:tabs>
        <w:ind w:left="4320" w:hanging="360"/>
      </w:pPr>
    </w:lvl>
    <w:lvl w:ilvl="6" w:tplc="E7CE91C2">
      <w:start w:val="1"/>
      <w:numFmt w:val="decimal"/>
      <w:lvlText w:val="%7."/>
      <w:lvlJc w:val="left"/>
      <w:pPr>
        <w:tabs>
          <w:tab w:val="num" w:pos="5040"/>
        </w:tabs>
        <w:ind w:left="5040" w:hanging="360"/>
      </w:pPr>
    </w:lvl>
    <w:lvl w:ilvl="7" w:tplc="5A1E98C6">
      <w:start w:val="1"/>
      <w:numFmt w:val="decimal"/>
      <w:lvlText w:val="%8."/>
      <w:lvlJc w:val="left"/>
      <w:pPr>
        <w:tabs>
          <w:tab w:val="num" w:pos="5760"/>
        </w:tabs>
        <w:ind w:left="5760" w:hanging="360"/>
      </w:pPr>
    </w:lvl>
    <w:lvl w:ilvl="8" w:tplc="72F83734">
      <w:start w:val="1"/>
      <w:numFmt w:val="decimal"/>
      <w:lvlText w:val="%9."/>
      <w:lvlJc w:val="left"/>
      <w:pPr>
        <w:tabs>
          <w:tab w:val="num" w:pos="6480"/>
        </w:tabs>
        <w:ind w:left="6480" w:hanging="360"/>
      </w:pPr>
    </w:lvl>
  </w:abstractNum>
  <w:abstractNum w:abstractNumId="6">
    <w:nsid w:val="29665A2D"/>
    <w:multiLevelType w:val="multilevel"/>
    <w:tmpl w:val="14CAD7A6"/>
    <w:lvl w:ilvl="0">
      <w:start w:val="11"/>
      <w:numFmt w:val="decimal"/>
      <w:lvlText w:val="%1."/>
      <w:lvlJc w:val="left"/>
      <w:pPr>
        <w:tabs>
          <w:tab w:val="num" w:pos="360"/>
        </w:tabs>
        <w:ind w:left="360" w:hanging="360"/>
      </w:pPr>
      <w:rPr>
        <w:rFonts w:ascii="Times New Roman" w:eastAsia="Times New Roman" w:hAnsi="Times New Roman" w:cs="Times New Roman"/>
      </w:rPr>
    </w:lvl>
    <w:lvl w:ilvl="1">
      <w:start w:val="1"/>
      <w:numFmt w:val="decimal"/>
      <w:lvlText w:val="%2)"/>
      <w:lvlJc w:val="left"/>
      <w:pPr>
        <w:tabs>
          <w:tab w:val="num" w:pos="360"/>
        </w:tabs>
        <w:ind w:left="360" w:firstLine="0"/>
      </w:pPr>
      <w:rPr>
        <w:sz w:val="22"/>
        <w:szCs w:val="22"/>
      </w:rPr>
    </w:lvl>
    <w:lvl w:ilvl="2">
      <w:start w:val="1"/>
      <w:numFmt w:val="lowerRoman"/>
      <w:lvlText w:val="%3."/>
      <w:lvlJc w:val="left"/>
      <w:pPr>
        <w:tabs>
          <w:tab w:val="num" w:pos="360"/>
        </w:tabs>
        <w:ind w:left="360" w:firstLine="36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nsid w:val="2B047262"/>
    <w:multiLevelType w:val="hybridMultilevel"/>
    <w:tmpl w:val="3B4E8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D97C37"/>
    <w:multiLevelType w:val="hybridMultilevel"/>
    <w:tmpl w:val="7D1E634E"/>
    <w:lvl w:ilvl="0" w:tplc="29863FA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23535"/>
    <w:multiLevelType w:val="hybridMultilevel"/>
    <w:tmpl w:val="C388CF34"/>
    <w:lvl w:ilvl="0" w:tplc="87FE7C1C">
      <w:start w:val="1"/>
      <w:numFmt w:val="upperRoman"/>
      <w:lvlText w:val="%1."/>
      <w:lvlJc w:val="left"/>
      <w:pPr>
        <w:ind w:left="1800" w:hanging="72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B801F1"/>
    <w:multiLevelType w:val="hybridMultilevel"/>
    <w:tmpl w:val="42DC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281BA9"/>
    <w:multiLevelType w:val="hybridMultilevel"/>
    <w:tmpl w:val="49BC17AC"/>
    <w:lvl w:ilvl="0" w:tplc="83362E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654012"/>
    <w:multiLevelType w:val="hybridMultilevel"/>
    <w:tmpl w:val="56182C44"/>
    <w:lvl w:ilvl="0" w:tplc="D5E8E41E">
      <w:start w:val="1"/>
      <w:numFmt w:val="bullet"/>
      <w:lvlText w:val=""/>
      <w:lvlJc w:val="left"/>
      <w:pPr>
        <w:tabs>
          <w:tab w:val="num" w:pos="360"/>
        </w:tabs>
        <w:ind w:left="360" w:hanging="360"/>
      </w:pPr>
      <w:rPr>
        <w:rFonts w:ascii="Symbol" w:hAnsi="Symbol" w:hint="default"/>
      </w:rPr>
    </w:lvl>
    <w:lvl w:ilvl="1" w:tplc="DE6C8D74">
      <w:start w:val="1"/>
      <w:numFmt w:val="decimal"/>
      <w:lvlText w:val="%2."/>
      <w:lvlJc w:val="left"/>
      <w:pPr>
        <w:tabs>
          <w:tab w:val="num" w:pos="1440"/>
        </w:tabs>
        <w:ind w:left="1440" w:hanging="360"/>
      </w:pPr>
    </w:lvl>
    <w:lvl w:ilvl="2" w:tplc="29B8BB0C">
      <w:start w:val="1"/>
      <w:numFmt w:val="decimal"/>
      <w:lvlText w:val="%3."/>
      <w:lvlJc w:val="left"/>
      <w:pPr>
        <w:tabs>
          <w:tab w:val="num" w:pos="2160"/>
        </w:tabs>
        <w:ind w:left="2160" w:hanging="360"/>
      </w:pPr>
    </w:lvl>
    <w:lvl w:ilvl="3" w:tplc="38208BE6">
      <w:start w:val="1"/>
      <w:numFmt w:val="decimal"/>
      <w:lvlText w:val="%4."/>
      <w:lvlJc w:val="left"/>
      <w:pPr>
        <w:tabs>
          <w:tab w:val="num" w:pos="2880"/>
        </w:tabs>
        <w:ind w:left="2880" w:hanging="360"/>
      </w:pPr>
    </w:lvl>
    <w:lvl w:ilvl="4" w:tplc="818A2016">
      <w:start w:val="1"/>
      <w:numFmt w:val="decimal"/>
      <w:lvlText w:val="%5."/>
      <w:lvlJc w:val="left"/>
      <w:pPr>
        <w:tabs>
          <w:tab w:val="num" w:pos="3600"/>
        </w:tabs>
        <w:ind w:left="3600" w:hanging="360"/>
      </w:pPr>
    </w:lvl>
    <w:lvl w:ilvl="5" w:tplc="4B848986">
      <w:start w:val="1"/>
      <w:numFmt w:val="decimal"/>
      <w:lvlText w:val="%6."/>
      <w:lvlJc w:val="left"/>
      <w:pPr>
        <w:tabs>
          <w:tab w:val="num" w:pos="4320"/>
        </w:tabs>
        <w:ind w:left="4320" w:hanging="360"/>
      </w:pPr>
    </w:lvl>
    <w:lvl w:ilvl="6" w:tplc="7C5E7ED6">
      <w:start w:val="1"/>
      <w:numFmt w:val="decimal"/>
      <w:lvlText w:val="%7."/>
      <w:lvlJc w:val="left"/>
      <w:pPr>
        <w:tabs>
          <w:tab w:val="num" w:pos="5040"/>
        </w:tabs>
        <w:ind w:left="5040" w:hanging="360"/>
      </w:pPr>
    </w:lvl>
    <w:lvl w:ilvl="7" w:tplc="3EA0FF12">
      <w:start w:val="1"/>
      <w:numFmt w:val="decimal"/>
      <w:lvlText w:val="%8."/>
      <w:lvlJc w:val="left"/>
      <w:pPr>
        <w:tabs>
          <w:tab w:val="num" w:pos="5760"/>
        </w:tabs>
        <w:ind w:left="5760" w:hanging="360"/>
      </w:pPr>
    </w:lvl>
    <w:lvl w:ilvl="8" w:tplc="E0BE79FE">
      <w:start w:val="1"/>
      <w:numFmt w:val="decimal"/>
      <w:lvlText w:val="%9."/>
      <w:lvlJc w:val="left"/>
      <w:pPr>
        <w:tabs>
          <w:tab w:val="num" w:pos="6480"/>
        </w:tabs>
        <w:ind w:left="6480" w:hanging="360"/>
      </w:pPr>
    </w:lvl>
  </w:abstractNum>
  <w:abstractNum w:abstractNumId="13">
    <w:nsid w:val="3AD65566"/>
    <w:multiLevelType w:val="hybridMultilevel"/>
    <w:tmpl w:val="FA84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043185"/>
    <w:multiLevelType w:val="hybridMultilevel"/>
    <w:tmpl w:val="D8CA6C7E"/>
    <w:lvl w:ilvl="0" w:tplc="8D78CDC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27F49E6"/>
    <w:multiLevelType w:val="hybridMultilevel"/>
    <w:tmpl w:val="F89E6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332D7E"/>
    <w:multiLevelType w:val="hybridMultilevel"/>
    <w:tmpl w:val="EA4026E2"/>
    <w:lvl w:ilvl="0" w:tplc="C7580E58">
      <w:start w:val="1"/>
      <w:numFmt w:val="bullet"/>
      <w:lvlText w:val=""/>
      <w:lvlJc w:val="left"/>
      <w:pPr>
        <w:ind w:left="1080" w:hanging="720"/>
      </w:pPr>
      <w:rPr>
        <w:rFonts w:ascii="Symbol" w:hAnsi="Symbo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6B1D30"/>
    <w:multiLevelType w:val="hybridMultilevel"/>
    <w:tmpl w:val="B5A4C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1F026C"/>
    <w:multiLevelType w:val="hybridMultilevel"/>
    <w:tmpl w:val="2002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016E45"/>
    <w:multiLevelType w:val="hybridMultilevel"/>
    <w:tmpl w:val="A91ADBE4"/>
    <w:lvl w:ilvl="0" w:tplc="D0DC3320">
      <w:start w:val="1"/>
      <w:numFmt w:val="upperRoman"/>
      <w:lvlText w:val="%1."/>
      <w:lvlJc w:val="left"/>
      <w:pPr>
        <w:ind w:left="108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F57E12"/>
    <w:multiLevelType w:val="hybridMultilevel"/>
    <w:tmpl w:val="BE40146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49F62134"/>
    <w:multiLevelType w:val="hybridMultilevel"/>
    <w:tmpl w:val="A1FE2178"/>
    <w:lvl w:ilvl="0" w:tplc="18FCEA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AC5B2B"/>
    <w:multiLevelType w:val="hybridMultilevel"/>
    <w:tmpl w:val="0882CE82"/>
    <w:lvl w:ilvl="0" w:tplc="4ACCC272">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198073C"/>
    <w:multiLevelType w:val="hybridMultilevel"/>
    <w:tmpl w:val="5D5A9BB0"/>
    <w:lvl w:ilvl="0" w:tplc="DE6C8D74">
      <w:start w:val="1"/>
      <w:numFmt w:val="decimal"/>
      <w:lvlText w:val="%1."/>
      <w:lvlJc w:val="left"/>
      <w:pPr>
        <w:tabs>
          <w:tab w:val="num" w:pos="1440"/>
        </w:tabs>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74143C"/>
    <w:multiLevelType w:val="hybridMultilevel"/>
    <w:tmpl w:val="FA0EA24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568F7C0E"/>
    <w:multiLevelType w:val="hybridMultilevel"/>
    <w:tmpl w:val="66AC300E"/>
    <w:lvl w:ilvl="0" w:tplc="F506A0CE">
      <w:start w:val="1"/>
      <w:numFmt w:val="upperRoman"/>
      <w:lvlText w:val="%1."/>
      <w:lvlJc w:val="left"/>
      <w:pPr>
        <w:ind w:left="1260" w:hanging="72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6">
    <w:nsid w:val="5B452941"/>
    <w:multiLevelType w:val="hybridMultilevel"/>
    <w:tmpl w:val="86DE5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CA222C"/>
    <w:multiLevelType w:val="hybridMultilevel"/>
    <w:tmpl w:val="72964448"/>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CFE5468"/>
    <w:multiLevelType w:val="hybridMultilevel"/>
    <w:tmpl w:val="661E0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2527BF"/>
    <w:multiLevelType w:val="hybridMultilevel"/>
    <w:tmpl w:val="C16CF330"/>
    <w:lvl w:ilvl="0" w:tplc="1B1C72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BF2F6C"/>
    <w:multiLevelType w:val="hybridMultilevel"/>
    <w:tmpl w:val="229E4AE8"/>
    <w:lvl w:ilvl="0" w:tplc="04090001">
      <w:start w:val="1"/>
      <w:numFmt w:val="bullet"/>
      <w:lvlText w:val=""/>
      <w:lvlJc w:val="left"/>
      <w:pPr>
        <w:ind w:left="1080" w:hanging="72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181B2E"/>
    <w:multiLevelType w:val="hybridMultilevel"/>
    <w:tmpl w:val="F974A22E"/>
    <w:lvl w:ilvl="0" w:tplc="4530D44C">
      <w:start w:val="1"/>
      <w:numFmt w:val="bullet"/>
      <w:lvlText w:val=""/>
      <w:lvlJc w:val="left"/>
      <w:pPr>
        <w:ind w:left="360" w:hanging="360"/>
      </w:pPr>
      <w:rPr>
        <w:rFonts w:ascii="Symbol" w:hAnsi="Symbol" w:hint="default"/>
      </w:rPr>
    </w:lvl>
    <w:lvl w:ilvl="1" w:tplc="282097DA">
      <w:start w:val="1"/>
      <w:numFmt w:val="decimal"/>
      <w:lvlText w:val="%2."/>
      <w:lvlJc w:val="left"/>
      <w:pPr>
        <w:tabs>
          <w:tab w:val="num" w:pos="1440"/>
        </w:tabs>
        <w:ind w:left="1440" w:hanging="360"/>
      </w:pPr>
    </w:lvl>
    <w:lvl w:ilvl="2" w:tplc="060678AC">
      <w:start w:val="1"/>
      <w:numFmt w:val="decimal"/>
      <w:lvlText w:val="%3."/>
      <w:lvlJc w:val="left"/>
      <w:pPr>
        <w:tabs>
          <w:tab w:val="num" w:pos="2160"/>
        </w:tabs>
        <w:ind w:left="2160" w:hanging="360"/>
      </w:pPr>
    </w:lvl>
    <w:lvl w:ilvl="3" w:tplc="F2AA0FB8">
      <w:start w:val="1"/>
      <w:numFmt w:val="decimal"/>
      <w:lvlText w:val="%4."/>
      <w:lvlJc w:val="left"/>
      <w:pPr>
        <w:tabs>
          <w:tab w:val="num" w:pos="2880"/>
        </w:tabs>
        <w:ind w:left="2880" w:hanging="360"/>
      </w:pPr>
    </w:lvl>
    <w:lvl w:ilvl="4" w:tplc="4E6ACB32">
      <w:start w:val="1"/>
      <w:numFmt w:val="decimal"/>
      <w:lvlText w:val="%5."/>
      <w:lvlJc w:val="left"/>
      <w:pPr>
        <w:tabs>
          <w:tab w:val="num" w:pos="3600"/>
        </w:tabs>
        <w:ind w:left="3600" w:hanging="360"/>
      </w:pPr>
    </w:lvl>
    <w:lvl w:ilvl="5" w:tplc="FB967168">
      <w:start w:val="1"/>
      <w:numFmt w:val="decimal"/>
      <w:lvlText w:val="%6."/>
      <w:lvlJc w:val="left"/>
      <w:pPr>
        <w:tabs>
          <w:tab w:val="num" w:pos="4320"/>
        </w:tabs>
        <w:ind w:left="4320" w:hanging="360"/>
      </w:pPr>
    </w:lvl>
    <w:lvl w:ilvl="6" w:tplc="0DDAB2D2">
      <w:start w:val="1"/>
      <w:numFmt w:val="decimal"/>
      <w:lvlText w:val="%7."/>
      <w:lvlJc w:val="left"/>
      <w:pPr>
        <w:tabs>
          <w:tab w:val="num" w:pos="5040"/>
        </w:tabs>
        <w:ind w:left="5040" w:hanging="360"/>
      </w:pPr>
    </w:lvl>
    <w:lvl w:ilvl="7" w:tplc="96C0C1A2">
      <w:start w:val="1"/>
      <w:numFmt w:val="decimal"/>
      <w:lvlText w:val="%8."/>
      <w:lvlJc w:val="left"/>
      <w:pPr>
        <w:tabs>
          <w:tab w:val="num" w:pos="5760"/>
        </w:tabs>
        <w:ind w:left="5760" w:hanging="360"/>
      </w:pPr>
    </w:lvl>
    <w:lvl w:ilvl="8" w:tplc="DB6C466E">
      <w:start w:val="1"/>
      <w:numFmt w:val="decimal"/>
      <w:lvlText w:val="%9."/>
      <w:lvlJc w:val="left"/>
      <w:pPr>
        <w:tabs>
          <w:tab w:val="num" w:pos="6480"/>
        </w:tabs>
        <w:ind w:left="6480" w:hanging="360"/>
      </w:pPr>
    </w:lvl>
  </w:abstractNum>
  <w:abstractNum w:abstractNumId="32">
    <w:nsid w:val="6A81273F"/>
    <w:multiLevelType w:val="hybridMultilevel"/>
    <w:tmpl w:val="A608270C"/>
    <w:lvl w:ilvl="0" w:tplc="14661264">
      <w:start w:val="1"/>
      <w:numFmt w:val="bullet"/>
      <w:lvlText w:val="I"/>
      <w:lvlJc w:val="left"/>
      <w:pPr>
        <w:ind w:left="1080" w:hanging="720"/>
      </w:pPr>
      <w:rPr>
        <w:rFonts w:ascii="Calibri" w:hAnsi="Calibri"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D5C4061"/>
    <w:multiLevelType w:val="hybridMultilevel"/>
    <w:tmpl w:val="22BCFE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EE7680C"/>
    <w:multiLevelType w:val="hybridMultilevel"/>
    <w:tmpl w:val="37E0F7C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5">
    <w:nsid w:val="71E6630B"/>
    <w:multiLevelType w:val="hybridMultilevel"/>
    <w:tmpl w:val="CF0463EE"/>
    <w:lvl w:ilvl="0" w:tplc="E18449C8">
      <w:start w:val="1"/>
      <w:numFmt w:val="bullet"/>
      <w:lvlText w:val=""/>
      <w:lvlJc w:val="left"/>
      <w:pPr>
        <w:ind w:left="720" w:hanging="360"/>
      </w:pPr>
      <w:rPr>
        <w:rFonts w:ascii="Symbol" w:hAnsi="Symbol" w:hint="default"/>
      </w:rPr>
    </w:lvl>
    <w:lvl w:ilvl="1" w:tplc="FEAE2662">
      <w:start w:val="1"/>
      <w:numFmt w:val="decimal"/>
      <w:lvlText w:val="%2."/>
      <w:lvlJc w:val="left"/>
      <w:pPr>
        <w:tabs>
          <w:tab w:val="num" w:pos="1440"/>
        </w:tabs>
        <w:ind w:left="1440" w:hanging="360"/>
      </w:pPr>
    </w:lvl>
    <w:lvl w:ilvl="2" w:tplc="E70C4E3A">
      <w:start w:val="1"/>
      <w:numFmt w:val="decimal"/>
      <w:lvlText w:val="%3."/>
      <w:lvlJc w:val="left"/>
      <w:pPr>
        <w:tabs>
          <w:tab w:val="num" w:pos="2160"/>
        </w:tabs>
        <w:ind w:left="2160" w:hanging="360"/>
      </w:pPr>
    </w:lvl>
    <w:lvl w:ilvl="3" w:tplc="72780424">
      <w:start w:val="1"/>
      <w:numFmt w:val="decimal"/>
      <w:lvlText w:val="%4."/>
      <w:lvlJc w:val="left"/>
      <w:pPr>
        <w:tabs>
          <w:tab w:val="num" w:pos="2880"/>
        </w:tabs>
        <w:ind w:left="2880" w:hanging="360"/>
      </w:pPr>
    </w:lvl>
    <w:lvl w:ilvl="4" w:tplc="3752A182">
      <w:start w:val="1"/>
      <w:numFmt w:val="decimal"/>
      <w:lvlText w:val="%5."/>
      <w:lvlJc w:val="left"/>
      <w:pPr>
        <w:tabs>
          <w:tab w:val="num" w:pos="3600"/>
        </w:tabs>
        <w:ind w:left="3600" w:hanging="360"/>
      </w:pPr>
    </w:lvl>
    <w:lvl w:ilvl="5" w:tplc="945E6B58">
      <w:start w:val="1"/>
      <w:numFmt w:val="decimal"/>
      <w:lvlText w:val="%6."/>
      <w:lvlJc w:val="left"/>
      <w:pPr>
        <w:tabs>
          <w:tab w:val="num" w:pos="4320"/>
        </w:tabs>
        <w:ind w:left="4320" w:hanging="360"/>
      </w:pPr>
    </w:lvl>
    <w:lvl w:ilvl="6" w:tplc="68A627D4">
      <w:start w:val="1"/>
      <w:numFmt w:val="decimal"/>
      <w:lvlText w:val="%7."/>
      <w:lvlJc w:val="left"/>
      <w:pPr>
        <w:tabs>
          <w:tab w:val="num" w:pos="5040"/>
        </w:tabs>
        <w:ind w:left="5040" w:hanging="360"/>
      </w:pPr>
    </w:lvl>
    <w:lvl w:ilvl="7" w:tplc="5840F1EC">
      <w:start w:val="1"/>
      <w:numFmt w:val="decimal"/>
      <w:lvlText w:val="%8."/>
      <w:lvlJc w:val="left"/>
      <w:pPr>
        <w:tabs>
          <w:tab w:val="num" w:pos="5760"/>
        </w:tabs>
        <w:ind w:left="5760" w:hanging="360"/>
      </w:pPr>
    </w:lvl>
    <w:lvl w:ilvl="8" w:tplc="95B0FE72">
      <w:start w:val="1"/>
      <w:numFmt w:val="decimal"/>
      <w:lvlText w:val="%9."/>
      <w:lvlJc w:val="left"/>
      <w:pPr>
        <w:tabs>
          <w:tab w:val="num" w:pos="6480"/>
        </w:tabs>
        <w:ind w:left="6480" w:hanging="360"/>
      </w:pPr>
    </w:lvl>
  </w:abstractNum>
  <w:abstractNum w:abstractNumId="36">
    <w:nsid w:val="729166E4"/>
    <w:multiLevelType w:val="hybridMultilevel"/>
    <w:tmpl w:val="EBB66B7E"/>
    <w:lvl w:ilvl="0" w:tplc="C7580E58">
      <w:start w:val="1"/>
      <w:numFmt w:val="bullet"/>
      <w:lvlText w:val=""/>
      <w:lvlJc w:val="left"/>
      <w:pPr>
        <w:ind w:left="720" w:hanging="360"/>
      </w:pPr>
      <w:rPr>
        <w:rFonts w:ascii="Symbol" w:hAnsi="Symbol" w:hint="default"/>
        <w:b/>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4749D6"/>
    <w:multiLevelType w:val="hybridMultilevel"/>
    <w:tmpl w:val="60B6BD36"/>
    <w:lvl w:ilvl="0" w:tplc="6CD809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3C7303"/>
    <w:multiLevelType w:val="hybridMultilevel"/>
    <w:tmpl w:val="71D0DA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7B80437E"/>
    <w:multiLevelType w:val="hybridMultilevel"/>
    <w:tmpl w:val="2042D73E"/>
    <w:lvl w:ilvl="0" w:tplc="DAEC4DB8">
      <w:start w:val="1"/>
      <w:numFmt w:val="upperRoman"/>
      <w:lvlText w:val="%1."/>
      <w:lvlJc w:val="left"/>
      <w:pPr>
        <w:ind w:left="1440" w:hanging="720"/>
      </w:pPr>
      <w:rPr>
        <w:rFonts w:hint="default"/>
        <w:b/>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8"/>
  </w:num>
  <w:num w:numId="10">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20"/>
  </w:num>
  <w:num w:numId="19">
    <w:abstractNumId w:val="34"/>
  </w:num>
  <w:num w:numId="20">
    <w:abstractNumId w:val="1"/>
  </w:num>
  <w:num w:numId="21">
    <w:abstractNumId w:val="26"/>
  </w:num>
  <w:num w:numId="22">
    <w:abstractNumId w:val="25"/>
  </w:num>
  <w:num w:numId="23">
    <w:abstractNumId w:val="9"/>
  </w:num>
  <w:num w:numId="24">
    <w:abstractNumId w:val="14"/>
  </w:num>
  <w:num w:numId="25">
    <w:abstractNumId w:val="22"/>
  </w:num>
  <w:num w:numId="26">
    <w:abstractNumId w:val="11"/>
  </w:num>
  <w:num w:numId="27">
    <w:abstractNumId w:val="39"/>
  </w:num>
  <w:num w:numId="28">
    <w:abstractNumId w:val="21"/>
  </w:num>
  <w:num w:numId="29">
    <w:abstractNumId w:val="29"/>
  </w:num>
  <w:num w:numId="30">
    <w:abstractNumId w:val="30"/>
  </w:num>
  <w:num w:numId="31">
    <w:abstractNumId w:val="15"/>
  </w:num>
  <w:num w:numId="32">
    <w:abstractNumId w:val="10"/>
  </w:num>
  <w:num w:numId="33">
    <w:abstractNumId w:val="8"/>
  </w:num>
  <w:num w:numId="34">
    <w:abstractNumId w:val="19"/>
  </w:num>
  <w:num w:numId="35">
    <w:abstractNumId w:val="16"/>
  </w:num>
  <w:num w:numId="36">
    <w:abstractNumId w:val="32"/>
  </w:num>
  <w:num w:numId="37">
    <w:abstractNumId w:val="36"/>
  </w:num>
  <w:num w:numId="38">
    <w:abstractNumId w:val="13"/>
  </w:num>
  <w:num w:numId="39">
    <w:abstractNumId w:val="17"/>
  </w:num>
  <w:num w:numId="40">
    <w:abstractNumId w:val="28"/>
  </w:num>
  <w:num w:numId="41">
    <w:abstractNumId w:val="37"/>
  </w:num>
  <w:num w:numId="42">
    <w:abstractNumId w:val="12"/>
  </w:num>
  <w:num w:numId="43">
    <w:abstractNumId w:val="23"/>
  </w:num>
  <w:num w:numId="4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P Both" w:val="Acosta, Cristina (Manager, Contracts and Compliance), Mead, Kathlyn (Executive Vice President &amp; Chief Operating Officer)"/>
    <w:docVar w:name="AP Department" w:val="Executive"/>
    <w:docVar w:name="AP Full Name" w:val="Cristina Acosta, Kathlyn Mead"/>
    <w:docVar w:name="AP Job Title" w:val="Manager, Contracts and Compliance, Executive Vice President &amp; Chief Operating Officer"/>
    <w:docVar w:name="AP LNFN" w:val="Acosta, Cristina; Mead, Kathlyn"/>
    <w:docVar w:name="AV Both" w:val="Not Assigned"/>
    <w:docVar w:name="AV Department" w:val="Not Assigned"/>
    <w:docVar w:name="AV Full Name" w:val="Not Assigned"/>
    <w:docVar w:name="AV Job Title" w:val="Not Assigned"/>
    <w:docVar w:name="AV LNFN" w:val="Not Assigned"/>
    <w:docVar w:name="Business Title" w:val="The California Endowment"/>
    <w:docVar w:name="Category Titles" w:val="Document Classification"/>
    <w:docVar w:name="Current Major Version Changes" w:val="New DCA Procedures attached."/>
    <w:docVar w:name="Date Approved" w:val="02/13/2012"/>
    <w:docVar w:name="Date Archived" w:val="Not Archived Yet"/>
    <w:docVar w:name="Date Created" w:val="12/15/2011"/>
    <w:docVar w:name="Date Expires" w:val="02/13/2013"/>
    <w:docVar w:name="Date Last Reviewed" w:val="N/A"/>
    <w:docVar w:name="Date Submitted" w:val="01/23/2012"/>
    <w:docVar w:name="DC Both" w:val="Weissman, Brittney (Manager, Program Administration)"/>
    <w:docVar w:name="DC Department" w:val="Program Administration"/>
    <w:docVar w:name="DC Full Name" w:val="Brittney Weissman"/>
    <w:docVar w:name="DC Job Title" w:val="Manager, Program Administration"/>
    <w:docVar w:name="DC LNFN" w:val="Weissman, Brittney"/>
    <w:docVar w:name="Department(s)" w:val="CHC - Program, Communications, Grants Administration, Healthy California, Healthy Communities, Learning, Program Administration"/>
    <w:docVar w:name="Document Title" w:val="Direct Charitable Activity Contract (DCA) Procedures"/>
    <w:docVar w:name="Effective Date" w:val="02/13/2012"/>
    <w:docVar w:name="Full Year" w:val="2012"/>
    <w:docVar w:name="Keywords" w:val="dca, contract, contracts, payment terms, competitive bid, bidding, negotiation guidelines, contractor checklist,"/>
    <w:docVar w:name="Last Periodic Review Date" w:val="02/13/2012"/>
    <w:docVar w:name="Long Day" w:val="Wednesday"/>
    <w:docVar w:name="Long Month" w:val="April"/>
    <w:docVar w:name="Next Periodic Review Date" w:val="02/13/2013"/>
    <w:docVar w:name="Next Review Date" w:val="02/13/2013"/>
    <w:docVar w:name="NoInsertedVariables" w:val="NoInsertedVariables"/>
    <w:docVar w:name="OPT_238" w:val="Procedures"/>
    <w:docVar w:name="OPT_Descr_238" w:val="Procedures clearly communicate how to accomplish a particular task._x000d__x000a__x000d__x000a_TEMPLATE: Your Department - Other_x000d__x000a_EXAMPLE: Matching Gift Instructions"/>
    <w:docVar w:name="OPT_HRt_238" w:val="Procedures"/>
    <w:docVar w:name="OPT_Title_238" w:val="Document Classification"/>
    <w:docVar w:name="OPT_ValueDescr_238" w:val="Procedures: Procedures clearly communicate how to accomplish a particular task._x000d__x000a__x000d__x000a_TEMPLATE: Your Department - Other_x000d__x000a_EXAMPLE: Matching Gift Instructions"/>
    <w:docVar w:name="Option" w:val="N/A"/>
    <w:docVar w:name="Original Creation Date" w:val="No Date Set"/>
    <w:docVar w:name="Originating Department" w:val="N/A"/>
    <w:docVar w:name="PO Both" w:val="Weissman, Brittney (Manager, Program Administration)"/>
    <w:docVar w:name="PO Department" w:val="Program Administration"/>
    <w:docVar w:name="PO Full Name" w:val="Brittney Weissman"/>
    <w:docVar w:name="PO Job Title" w:val="Manager, Program Administration"/>
    <w:docVar w:name="PO LNFN" w:val="Weissman, Brittney"/>
    <w:docVar w:name="PPMDB" w:val="N/A"/>
    <w:docVar w:name="RD Both" w:val="Program Administration, Grants Administration, Communications, Healthy California, CHC - Program, Healthy Communities, Learning"/>
    <w:docVar w:name="RD Department" w:val="Program Administration, Grants Administration, Communications, Healthy California, CHC - Program, Healthy Communities, Learning"/>
    <w:docVar w:name="RD Full Name" w:val="CHC - Program, Communications, Grants Administration, Healthy California, Healthy Communities, Learning, Program Administration"/>
    <w:docVar w:name="RD Job Title" w:val="Not Assigned"/>
    <w:docVar w:name="RD LNFN" w:val="CHC - Program; Communications; Grants Administration; Healthy California; Healthy Communities; Learning; Program Administration"/>
    <w:docVar w:name="Reference #" w:val="198"/>
    <w:docVar w:name="Required Readers" w:val="N/A"/>
    <w:docVar w:name="RV Both" w:val="Weissman, Brittney (Manager, Program Administration), Acosta, Cristina (Manager, Contracts and Compliance), Estrada, Dolores (Manager, Grants Administration)"/>
    <w:docVar w:name="RV Department" w:val="Program Administration, Executive, Grants Administration"/>
    <w:docVar w:name="RV Full Name" w:val="Cristina Acosta, Dolores Estrada, Brittney Weissman"/>
    <w:docVar w:name="RV Job Title" w:val="Manager, Contracts and Compliance, Manager, Grants Administration, Manager, Program Administration"/>
    <w:docVar w:name="RV LNFN" w:val="Acosta, Cristina; Estrada, Dolores; Weissman, Brittney"/>
    <w:docVar w:name="Short Day" w:val="18"/>
    <w:docVar w:name="Short Month" w:val="04"/>
    <w:docVar w:name="site Name" w:val="TCE"/>
    <w:docVar w:name="Supersedes" w:val="N/A"/>
    <w:docVar w:name="Two Digit Year" w:val="12"/>
    <w:docVar w:name="Undefined" w:val="N/A"/>
    <w:docVar w:name="Version" w:val="1"/>
    <w:docVar w:name="WR Both" w:val="Not Assigned"/>
    <w:docVar w:name="WR Department" w:val="Not Assigned"/>
    <w:docVar w:name="WR Full Name" w:val="Not Assigned"/>
    <w:docVar w:name="WR Job Title" w:val="Not Assigned"/>
    <w:docVar w:name="WR LNFN" w:val="Not Assigned"/>
  </w:docVars>
  <w:rsids>
    <w:rsidRoot w:val="00581ACD"/>
    <w:rsid w:val="00000658"/>
    <w:rsid w:val="000018C9"/>
    <w:rsid w:val="00017FC6"/>
    <w:rsid w:val="00022097"/>
    <w:rsid w:val="00044E99"/>
    <w:rsid w:val="00045288"/>
    <w:rsid w:val="0004607E"/>
    <w:rsid w:val="00051817"/>
    <w:rsid w:val="00055D57"/>
    <w:rsid w:val="000613D2"/>
    <w:rsid w:val="00061529"/>
    <w:rsid w:val="00067A02"/>
    <w:rsid w:val="000709C0"/>
    <w:rsid w:val="00076503"/>
    <w:rsid w:val="000801FB"/>
    <w:rsid w:val="00092F7D"/>
    <w:rsid w:val="0009419A"/>
    <w:rsid w:val="000B4AC0"/>
    <w:rsid w:val="000C7842"/>
    <w:rsid w:val="000D5190"/>
    <w:rsid w:val="000F3079"/>
    <w:rsid w:val="000F475D"/>
    <w:rsid w:val="00104A7B"/>
    <w:rsid w:val="001057AB"/>
    <w:rsid w:val="00110842"/>
    <w:rsid w:val="00122046"/>
    <w:rsid w:val="0012642C"/>
    <w:rsid w:val="0012652B"/>
    <w:rsid w:val="00126D1F"/>
    <w:rsid w:val="00132576"/>
    <w:rsid w:val="00135D77"/>
    <w:rsid w:val="00136C4D"/>
    <w:rsid w:val="00147CF3"/>
    <w:rsid w:val="001635F2"/>
    <w:rsid w:val="00183039"/>
    <w:rsid w:val="0019001C"/>
    <w:rsid w:val="001952AD"/>
    <w:rsid w:val="00195CA3"/>
    <w:rsid w:val="00196AA2"/>
    <w:rsid w:val="001A0395"/>
    <w:rsid w:val="001A1A5D"/>
    <w:rsid w:val="001A4C72"/>
    <w:rsid w:val="001C1AEC"/>
    <w:rsid w:val="001C2BCA"/>
    <w:rsid w:val="001D2A90"/>
    <w:rsid w:val="001E00A2"/>
    <w:rsid w:val="001E6C15"/>
    <w:rsid w:val="001E6E85"/>
    <w:rsid w:val="00211D18"/>
    <w:rsid w:val="0023177C"/>
    <w:rsid w:val="00236A75"/>
    <w:rsid w:val="00241466"/>
    <w:rsid w:val="00257F54"/>
    <w:rsid w:val="002737FA"/>
    <w:rsid w:val="00273AF3"/>
    <w:rsid w:val="0028067F"/>
    <w:rsid w:val="00280D61"/>
    <w:rsid w:val="0028217B"/>
    <w:rsid w:val="0029398E"/>
    <w:rsid w:val="002A4B86"/>
    <w:rsid w:val="002A682B"/>
    <w:rsid w:val="002A6C8D"/>
    <w:rsid w:val="002D24EC"/>
    <w:rsid w:val="00304271"/>
    <w:rsid w:val="00304899"/>
    <w:rsid w:val="00305039"/>
    <w:rsid w:val="00306EC2"/>
    <w:rsid w:val="00310740"/>
    <w:rsid w:val="00321240"/>
    <w:rsid w:val="00324592"/>
    <w:rsid w:val="00325E26"/>
    <w:rsid w:val="0033074E"/>
    <w:rsid w:val="0033718F"/>
    <w:rsid w:val="0034442B"/>
    <w:rsid w:val="0034617E"/>
    <w:rsid w:val="003635F0"/>
    <w:rsid w:val="00380CF7"/>
    <w:rsid w:val="00392F4F"/>
    <w:rsid w:val="00395148"/>
    <w:rsid w:val="003A577E"/>
    <w:rsid w:val="003A71EC"/>
    <w:rsid w:val="003B6A3F"/>
    <w:rsid w:val="003D2BDC"/>
    <w:rsid w:val="003E5BD5"/>
    <w:rsid w:val="003E5C2B"/>
    <w:rsid w:val="003E6157"/>
    <w:rsid w:val="003F3000"/>
    <w:rsid w:val="003F60E9"/>
    <w:rsid w:val="0040276C"/>
    <w:rsid w:val="004206F3"/>
    <w:rsid w:val="004239BD"/>
    <w:rsid w:val="004270B1"/>
    <w:rsid w:val="0044667B"/>
    <w:rsid w:val="004507C3"/>
    <w:rsid w:val="00473154"/>
    <w:rsid w:val="00474AD8"/>
    <w:rsid w:val="0047704A"/>
    <w:rsid w:val="00477998"/>
    <w:rsid w:val="00484B46"/>
    <w:rsid w:val="00497636"/>
    <w:rsid w:val="004A0263"/>
    <w:rsid w:val="004A0992"/>
    <w:rsid w:val="004B2DC5"/>
    <w:rsid w:val="004B6431"/>
    <w:rsid w:val="004D0553"/>
    <w:rsid w:val="004E3624"/>
    <w:rsid w:val="005051A6"/>
    <w:rsid w:val="00507BA7"/>
    <w:rsid w:val="005100AE"/>
    <w:rsid w:val="005163FA"/>
    <w:rsid w:val="005254F6"/>
    <w:rsid w:val="00537F23"/>
    <w:rsid w:val="00546AAE"/>
    <w:rsid w:val="00553E4F"/>
    <w:rsid w:val="00554EDF"/>
    <w:rsid w:val="00564BD7"/>
    <w:rsid w:val="0056627A"/>
    <w:rsid w:val="00581ACD"/>
    <w:rsid w:val="00582C7D"/>
    <w:rsid w:val="005865E3"/>
    <w:rsid w:val="005921C0"/>
    <w:rsid w:val="005A466C"/>
    <w:rsid w:val="005B28D3"/>
    <w:rsid w:val="005E4DCD"/>
    <w:rsid w:val="005F4E20"/>
    <w:rsid w:val="006025EE"/>
    <w:rsid w:val="00602F64"/>
    <w:rsid w:val="006041EA"/>
    <w:rsid w:val="006405F8"/>
    <w:rsid w:val="006410BD"/>
    <w:rsid w:val="006624E0"/>
    <w:rsid w:val="0066396C"/>
    <w:rsid w:val="00665E82"/>
    <w:rsid w:val="006675D0"/>
    <w:rsid w:val="00667EEB"/>
    <w:rsid w:val="00676E12"/>
    <w:rsid w:val="006858A5"/>
    <w:rsid w:val="006B747A"/>
    <w:rsid w:val="006C0834"/>
    <w:rsid w:val="006C5AE9"/>
    <w:rsid w:val="006D2A97"/>
    <w:rsid w:val="006D7992"/>
    <w:rsid w:val="006E2C60"/>
    <w:rsid w:val="006E5FBC"/>
    <w:rsid w:val="006F1E74"/>
    <w:rsid w:val="00704A64"/>
    <w:rsid w:val="00710EBF"/>
    <w:rsid w:val="00711BC9"/>
    <w:rsid w:val="00715D17"/>
    <w:rsid w:val="00725E36"/>
    <w:rsid w:val="007309E4"/>
    <w:rsid w:val="00745545"/>
    <w:rsid w:val="0075183B"/>
    <w:rsid w:val="00757253"/>
    <w:rsid w:val="007664F2"/>
    <w:rsid w:val="00772CB1"/>
    <w:rsid w:val="00781328"/>
    <w:rsid w:val="00781EA3"/>
    <w:rsid w:val="00785814"/>
    <w:rsid w:val="00791D7D"/>
    <w:rsid w:val="007934EA"/>
    <w:rsid w:val="007C1267"/>
    <w:rsid w:val="007C27AC"/>
    <w:rsid w:val="007C34E8"/>
    <w:rsid w:val="007C4BA3"/>
    <w:rsid w:val="007D355C"/>
    <w:rsid w:val="007D619D"/>
    <w:rsid w:val="007E1B30"/>
    <w:rsid w:val="007F6A38"/>
    <w:rsid w:val="008120EC"/>
    <w:rsid w:val="00813D51"/>
    <w:rsid w:val="00814742"/>
    <w:rsid w:val="00815204"/>
    <w:rsid w:val="008175D8"/>
    <w:rsid w:val="0083533E"/>
    <w:rsid w:val="00850B63"/>
    <w:rsid w:val="00857138"/>
    <w:rsid w:val="008662A7"/>
    <w:rsid w:val="00866639"/>
    <w:rsid w:val="0087650D"/>
    <w:rsid w:val="00883055"/>
    <w:rsid w:val="0088458A"/>
    <w:rsid w:val="00884A05"/>
    <w:rsid w:val="00884C1D"/>
    <w:rsid w:val="00894ABB"/>
    <w:rsid w:val="008A431D"/>
    <w:rsid w:val="008A43A0"/>
    <w:rsid w:val="008B5FA1"/>
    <w:rsid w:val="008C1FEB"/>
    <w:rsid w:val="008C3580"/>
    <w:rsid w:val="008C3BAE"/>
    <w:rsid w:val="008D4C7A"/>
    <w:rsid w:val="008F273D"/>
    <w:rsid w:val="008F401B"/>
    <w:rsid w:val="008F6B9E"/>
    <w:rsid w:val="009001C0"/>
    <w:rsid w:val="00906CF1"/>
    <w:rsid w:val="00911CBD"/>
    <w:rsid w:val="00920E7F"/>
    <w:rsid w:val="00926949"/>
    <w:rsid w:val="00941419"/>
    <w:rsid w:val="00953101"/>
    <w:rsid w:val="00957A28"/>
    <w:rsid w:val="00960F40"/>
    <w:rsid w:val="0096775D"/>
    <w:rsid w:val="0097246E"/>
    <w:rsid w:val="00981ABD"/>
    <w:rsid w:val="00982757"/>
    <w:rsid w:val="009A5B04"/>
    <w:rsid w:val="009B4C3E"/>
    <w:rsid w:val="009C63D3"/>
    <w:rsid w:val="009E44D5"/>
    <w:rsid w:val="009F1921"/>
    <w:rsid w:val="009F2CB2"/>
    <w:rsid w:val="00A005DB"/>
    <w:rsid w:val="00A051F1"/>
    <w:rsid w:val="00A3374F"/>
    <w:rsid w:val="00A41D98"/>
    <w:rsid w:val="00A41E6F"/>
    <w:rsid w:val="00A6006A"/>
    <w:rsid w:val="00A635E7"/>
    <w:rsid w:val="00A642B6"/>
    <w:rsid w:val="00A65743"/>
    <w:rsid w:val="00A708CE"/>
    <w:rsid w:val="00A73AFF"/>
    <w:rsid w:val="00A77AE4"/>
    <w:rsid w:val="00A873F9"/>
    <w:rsid w:val="00A90146"/>
    <w:rsid w:val="00A904EE"/>
    <w:rsid w:val="00A93D5B"/>
    <w:rsid w:val="00AA1025"/>
    <w:rsid w:val="00AA2321"/>
    <w:rsid w:val="00AA3725"/>
    <w:rsid w:val="00AA67D3"/>
    <w:rsid w:val="00AB139F"/>
    <w:rsid w:val="00AC2128"/>
    <w:rsid w:val="00AC2DD0"/>
    <w:rsid w:val="00AC31C1"/>
    <w:rsid w:val="00AD3465"/>
    <w:rsid w:val="00AD7B5D"/>
    <w:rsid w:val="00AE18D4"/>
    <w:rsid w:val="00AE7465"/>
    <w:rsid w:val="00AF0F4D"/>
    <w:rsid w:val="00AF53CA"/>
    <w:rsid w:val="00B1246F"/>
    <w:rsid w:val="00B17E06"/>
    <w:rsid w:val="00B2012D"/>
    <w:rsid w:val="00B22CBF"/>
    <w:rsid w:val="00B23052"/>
    <w:rsid w:val="00B31135"/>
    <w:rsid w:val="00B377AF"/>
    <w:rsid w:val="00B41EFC"/>
    <w:rsid w:val="00B4327F"/>
    <w:rsid w:val="00B55D07"/>
    <w:rsid w:val="00B62E8E"/>
    <w:rsid w:val="00B76125"/>
    <w:rsid w:val="00B879B2"/>
    <w:rsid w:val="00BA5AAD"/>
    <w:rsid w:val="00BB5424"/>
    <w:rsid w:val="00BC47C7"/>
    <w:rsid w:val="00BD2603"/>
    <w:rsid w:val="00BE05D2"/>
    <w:rsid w:val="00BE2CFF"/>
    <w:rsid w:val="00BE306A"/>
    <w:rsid w:val="00BE3A12"/>
    <w:rsid w:val="00BE497C"/>
    <w:rsid w:val="00BF007F"/>
    <w:rsid w:val="00BF2F1F"/>
    <w:rsid w:val="00BF42C7"/>
    <w:rsid w:val="00BF5633"/>
    <w:rsid w:val="00C009C6"/>
    <w:rsid w:val="00C041B3"/>
    <w:rsid w:val="00C17BF9"/>
    <w:rsid w:val="00C311B6"/>
    <w:rsid w:val="00C36E08"/>
    <w:rsid w:val="00C525B5"/>
    <w:rsid w:val="00C55E4D"/>
    <w:rsid w:val="00C661C7"/>
    <w:rsid w:val="00C6643B"/>
    <w:rsid w:val="00C71520"/>
    <w:rsid w:val="00C81F28"/>
    <w:rsid w:val="00C8496E"/>
    <w:rsid w:val="00C931B3"/>
    <w:rsid w:val="00CA0B28"/>
    <w:rsid w:val="00CC3B74"/>
    <w:rsid w:val="00CC3DA9"/>
    <w:rsid w:val="00CC7B11"/>
    <w:rsid w:val="00CD5CFD"/>
    <w:rsid w:val="00CE1006"/>
    <w:rsid w:val="00CF36E6"/>
    <w:rsid w:val="00CF5472"/>
    <w:rsid w:val="00D02A4C"/>
    <w:rsid w:val="00D02D13"/>
    <w:rsid w:val="00D06A69"/>
    <w:rsid w:val="00D0795C"/>
    <w:rsid w:val="00D11E64"/>
    <w:rsid w:val="00D12853"/>
    <w:rsid w:val="00D47FCA"/>
    <w:rsid w:val="00D63399"/>
    <w:rsid w:val="00DA55FC"/>
    <w:rsid w:val="00DA67F3"/>
    <w:rsid w:val="00DA7371"/>
    <w:rsid w:val="00DD0CC4"/>
    <w:rsid w:val="00DD1F63"/>
    <w:rsid w:val="00DE549F"/>
    <w:rsid w:val="00E05597"/>
    <w:rsid w:val="00E076DB"/>
    <w:rsid w:val="00E21F60"/>
    <w:rsid w:val="00E5661D"/>
    <w:rsid w:val="00E60EAE"/>
    <w:rsid w:val="00E6630C"/>
    <w:rsid w:val="00E804F9"/>
    <w:rsid w:val="00E83E36"/>
    <w:rsid w:val="00E83EF5"/>
    <w:rsid w:val="00E84E2E"/>
    <w:rsid w:val="00E95081"/>
    <w:rsid w:val="00EB5650"/>
    <w:rsid w:val="00EC14D4"/>
    <w:rsid w:val="00EC5797"/>
    <w:rsid w:val="00EC65A3"/>
    <w:rsid w:val="00ED77EB"/>
    <w:rsid w:val="00EE0FF1"/>
    <w:rsid w:val="00EE700D"/>
    <w:rsid w:val="00EE7717"/>
    <w:rsid w:val="00EF3167"/>
    <w:rsid w:val="00EF68D2"/>
    <w:rsid w:val="00F04043"/>
    <w:rsid w:val="00F07B44"/>
    <w:rsid w:val="00F138AF"/>
    <w:rsid w:val="00F139FE"/>
    <w:rsid w:val="00F153EA"/>
    <w:rsid w:val="00F54398"/>
    <w:rsid w:val="00F5500D"/>
    <w:rsid w:val="00F575B9"/>
    <w:rsid w:val="00F649DD"/>
    <w:rsid w:val="00F73043"/>
    <w:rsid w:val="00F80874"/>
    <w:rsid w:val="00F80A65"/>
    <w:rsid w:val="00F8224F"/>
    <w:rsid w:val="00F92393"/>
    <w:rsid w:val="00F93B3E"/>
    <w:rsid w:val="00FA2EDA"/>
    <w:rsid w:val="00FB61A2"/>
    <w:rsid w:val="00FC2395"/>
    <w:rsid w:val="00FC2D30"/>
    <w:rsid w:val="00FC389D"/>
    <w:rsid w:val="00FC3E37"/>
    <w:rsid w:val="00FC6B0B"/>
    <w:rsid w:val="00FD0F83"/>
    <w:rsid w:val="00FE27AE"/>
    <w:rsid w:val="00FE2E07"/>
    <w:rsid w:val="00FF0F98"/>
    <w:rsid w:val="00FF40E3"/>
    <w:rsid w:val="00FF666F"/>
    <w:rsid w:val="00FF6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783"/>
    <w:pPr>
      <w:tabs>
        <w:tab w:val="center" w:pos="4680"/>
        <w:tab w:val="right" w:pos="9360"/>
      </w:tabs>
    </w:pPr>
  </w:style>
  <w:style w:type="character" w:customStyle="1" w:styleId="HeaderChar">
    <w:name w:val="Header Char"/>
    <w:basedOn w:val="DefaultParagraphFont"/>
    <w:link w:val="Header"/>
    <w:uiPriority w:val="99"/>
    <w:semiHidden/>
    <w:rsid w:val="005B4783"/>
  </w:style>
  <w:style w:type="paragraph" w:styleId="Footer">
    <w:name w:val="footer"/>
    <w:basedOn w:val="Normal"/>
    <w:link w:val="FooterChar"/>
    <w:uiPriority w:val="99"/>
    <w:unhideWhenUsed/>
    <w:rsid w:val="005B4783"/>
    <w:pPr>
      <w:tabs>
        <w:tab w:val="center" w:pos="4680"/>
        <w:tab w:val="right" w:pos="9360"/>
      </w:tabs>
    </w:pPr>
  </w:style>
  <w:style w:type="character" w:customStyle="1" w:styleId="FooterChar">
    <w:name w:val="Footer Char"/>
    <w:basedOn w:val="DefaultParagraphFont"/>
    <w:link w:val="Footer"/>
    <w:uiPriority w:val="99"/>
    <w:rsid w:val="005B4783"/>
  </w:style>
  <w:style w:type="character" w:styleId="Hyperlink">
    <w:name w:val="Hyperlink"/>
    <w:basedOn w:val="DefaultParagraphFont"/>
    <w:uiPriority w:val="99"/>
    <w:unhideWhenUsed/>
    <w:rsid w:val="0002429B"/>
    <w:rPr>
      <w:color w:val="0000FF" w:themeColor="hyperlink"/>
      <w:u w:val="single"/>
    </w:rPr>
  </w:style>
  <w:style w:type="paragraph" w:styleId="BodyTextIndent">
    <w:name w:val="Body Text Indent"/>
    <w:basedOn w:val="Normal"/>
    <w:link w:val="BodyTextIndentChar"/>
    <w:unhideWhenUsed/>
    <w:rsid w:val="0002429B"/>
    <w:pPr>
      <w:spacing w:before="120"/>
      <w:ind w:left="720" w:hanging="360"/>
    </w:pPr>
    <w:rPr>
      <w:rFonts w:ascii="Arial" w:eastAsia="Times New Roman" w:hAnsi="Arial"/>
      <w:sz w:val="24"/>
      <w:szCs w:val="20"/>
    </w:rPr>
  </w:style>
  <w:style w:type="character" w:customStyle="1" w:styleId="BodyTextIndentChar">
    <w:name w:val="Body Text Indent Char"/>
    <w:basedOn w:val="DefaultParagraphFont"/>
    <w:link w:val="BodyTextIndent"/>
    <w:rsid w:val="0002429B"/>
    <w:rPr>
      <w:rFonts w:ascii="Arial" w:eastAsia="Times New Roman" w:hAnsi="Arial" w:cs="Times New Roman"/>
      <w:sz w:val="24"/>
      <w:szCs w:val="20"/>
    </w:rPr>
  </w:style>
  <w:style w:type="paragraph" w:styleId="NoSpacing">
    <w:name w:val="No Spacing"/>
    <w:uiPriority w:val="1"/>
    <w:qFormat/>
    <w:rsid w:val="0002429B"/>
  </w:style>
  <w:style w:type="paragraph" w:styleId="ListParagraph">
    <w:name w:val="List Paragraph"/>
    <w:basedOn w:val="Normal"/>
    <w:uiPriority w:val="34"/>
    <w:qFormat/>
    <w:rsid w:val="0002429B"/>
    <w:pPr>
      <w:spacing w:after="200" w:line="276" w:lineRule="auto"/>
      <w:ind w:left="720"/>
      <w:contextualSpacing/>
    </w:pPr>
  </w:style>
  <w:style w:type="paragraph" w:customStyle="1" w:styleId="Blockhead">
    <w:name w:val="Blockhead"/>
    <w:next w:val="Normal"/>
    <w:rsid w:val="0002429B"/>
    <w:pPr>
      <w:spacing w:after="60"/>
    </w:pPr>
    <w:rPr>
      <w:rFonts w:ascii="Arial" w:eastAsia="Times New Roman" w:hAnsi="Arial"/>
      <w:b/>
      <w:noProof/>
      <w:szCs w:val="20"/>
    </w:rPr>
  </w:style>
  <w:style w:type="character" w:styleId="Strong">
    <w:name w:val="Strong"/>
    <w:basedOn w:val="DefaultParagraphFont"/>
    <w:qFormat/>
    <w:rsid w:val="0002429B"/>
    <w:rPr>
      <w:b/>
      <w:bCs/>
    </w:rPr>
  </w:style>
  <w:style w:type="paragraph" w:styleId="BalloonText">
    <w:name w:val="Balloon Text"/>
    <w:basedOn w:val="Normal"/>
    <w:link w:val="BalloonTextChar"/>
    <w:uiPriority w:val="99"/>
    <w:semiHidden/>
    <w:unhideWhenUsed/>
    <w:rsid w:val="00160451"/>
    <w:rPr>
      <w:rFonts w:ascii="Tahoma" w:hAnsi="Tahoma" w:cs="Tahoma"/>
      <w:sz w:val="16"/>
      <w:szCs w:val="16"/>
    </w:rPr>
  </w:style>
  <w:style w:type="character" w:customStyle="1" w:styleId="BalloonTextChar">
    <w:name w:val="Balloon Text Char"/>
    <w:basedOn w:val="DefaultParagraphFont"/>
    <w:link w:val="BalloonText"/>
    <w:uiPriority w:val="99"/>
    <w:semiHidden/>
    <w:rsid w:val="00160451"/>
    <w:rPr>
      <w:rFonts w:ascii="Tahoma" w:hAnsi="Tahoma" w:cs="Tahoma"/>
      <w:sz w:val="16"/>
      <w:szCs w:val="16"/>
    </w:rPr>
  </w:style>
  <w:style w:type="paragraph" w:styleId="NormalWeb">
    <w:name w:val="Normal (Web)"/>
    <w:basedOn w:val="Normal"/>
    <w:uiPriority w:val="99"/>
    <w:semiHidden/>
    <w:unhideWhenUsed/>
    <w:rsid w:val="00F93B3E"/>
    <w:pPr>
      <w:spacing w:before="100" w:beforeAutospacing="1" w:after="100" w:afterAutospacing="1"/>
    </w:pPr>
    <w:rPr>
      <w:rFonts w:ascii="Times New Roman" w:eastAsia="MS PGothic" w:hAnsi="Times New Roman"/>
      <w:sz w:val="24"/>
      <w:szCs w:val="24"/>
      <w:lang w:eastAsia="ja-JP"/>
    </w:rPr>
  </w:style>
  <w:style w:type="character" w:styleId="CommentReference">
    <w:name w:val="annotation reference"/>
    <w:basedOn w:val="DefaultParagraphFont"/>
    <w:uiPriority w:val="99"/>
    <w:semiHidden/>
    <w:unhideWhenUsed/>
    <w:rsid w:val="00BF2F1F"/>
    <w:rPr>
      <w:sz w:val="16"/>
      <w:szCs w:val="16"/>
    </w:rPr>
  </w:style>
  <w:style w:type="paragraph" w:styleId="CommentText">
    <w:name w:val="annotation text"/>
    <w:basedOn w:val="Normal"/>
    <w:link w:val="CommentTextChar"/>
    <w:uiPriority w:val="99"/>
    <w:semiHidden/>
    <w:unhideWhenUsed/>
    <w:rsid w:val="00BF2F1F"/>
    <w:rPr>
      <w:sz w:val="20"/>
      <w:szCs w:val="20"/>
    </w:rPr>
  </w:style>
  <w:style w:type="character" w:customStyle="1" w:styleId="CommentTextChar">
    <w:name w:val="Comment Text Char"/>
    <w:basedOn w:val="DefaultParagraphFont"/>
    <w:link w:val="CommentText"/>
    <w:uiPriority w:val="99"/>
    <w:semiHidden/>
    <w:rsid w:val="00BF2F1F"/>
    <w:rPr>
      <w:sz w:val="20"/>
      <w:szCs w:val="20"/>
    </w:rPr>
  </w:style>
  <w:style w:type="paragraph" w:styleId="CommentSubject">
    <w:name w:val="annotation subject"/>
    <w:basedOn w:val="CommentText"/>
    <w:next w:val="CommentText"/>
    <w:link w:val="CommentSubjectChar"/>
    <w:uiPriority w:val="99"/>
    <w:semiHidden/>
    <w:unhideWhenUsed/>
    <w:rsid w:val="00BF2F1F"/>
    <w:rPr>
      <w:b/>
      <w:bCs/>
    </w:rPr>
  </w:style>
  <w:style w:type="character" w:customStyle="1" w:styleId="CommentSubjectChar">
    <w:name w:val="Comment Subject Char"/>
    <w:basedOn w:val="CommentTextChar"/>
    <w:link w:val="CommentSubject"/>
    <w:uiPriority w:val="99"/>
    <w:semiHidden/>
    <w:rsid w:val="00BF2F1F"/>
    <w:rPr>
      <w:b/>
      <w:bCs/>
      <w:sz w:val="20"/>
      <w:szCs w:val="20"/>
    </w:rPr>
  </w:style>
  <w:style w:type="table" w:styleId="TableGrid">
    <w:name w:val="Table Grid"/>
    <w:basedOn w:val="TableNormal"/>
    <w:uiPriority w:val="59"/>
    <w:rsid w:val="00850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10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B4783"/>
    <w:pPr>
      <w:tabs>
        <w:tab w:val="center" w:pos="4680"/>
        <w:tab w:val="right" w:pos="9360"/>
      </w:tabs>
    </w:pPr>
  </w:style>
  <w:style w:type="character" w:customStyle="1" w:styleId="HeaderChar">
    <w:name w:val="Header Char"/>
    <w:basedOn w:val="DefaultParagraphFont"/>
    <w:link w:val="Header"/>
    <w:uiPriority w:val="99"/>
    <w:semiHidden/>
    <w:rsid w:val="005B4783"/>
  </w:style>
  <w:style w:type="paragraph" w:styleId="Footer">
    <w:name w:val="footer"/>
    <w:basedOn w:val="Normal"/>
    <w:link w:val="FooterChar"/>
    <w:uiPriority w:val="99"/>
    <w:unhideWhenUsed/>
    <w:rsid w:val="005B4783"/>
    <w:pPr>
      <w:tabs>
        <w:tab w:val="center" w:pos="4680"/>
        <w:tab w:val="right" w:pos="9360"/>
      </w:tabs>
    </w:pPr>
  </w:style>
  <w:style w:type="character" w:customStyle="1" w:styleId="FooterChar">
    <w:name w:val="Footer Char"/>
    <w:basedOn w:val="DefaultParagraphFont"/>
    <w:link w:val="Footer"/>
    <w:uiPriority w:val="99"/>
    <w:rsid w:val="005B4783"/>
  </w:style>
  <w:style w:type="character" w:styleId="Hyperlink">
    <w:name w:val="Hyperlink"/>
    <w:basedOn w:val="DefaultParagraphFont"/>
    <w:uiPriority w:val="99"/>
    <w:unhideWhenUsed/>
    <w:rsid w:val="0002429B"/>
    <w:rPr>
      <w:color w:val="0000FF" w:themeColor="hyperlink"/>
      <w:u w:val="single"/>
    </w:rPr>
  </w:style>
  <w:style w:type="paragraph" w:styleId="BodyTextIndent">
    <w:name w:val="Body Text Indent"/>
    <w:basedOn w:val="Normal"/>
    <w:link w:val="BodyTextIndentChar"/>
    <w:unhideWhenUsed/>
    <w:rsid w:val="0002429B"/>
    <w:pPr>
      <w:spacing w:before="120"/>
      <w:ind w:left="720" w:hanging="360"/>
    </w:pPr>
    <w:rPr>
      <w:rFonts w:ascii="Arial" w:eastAsia="Times New Roman" w:hAnsi="Arial"/>
      <w:sz w:val="24"/>
      <w:szCs w:val="20"/>
    </w:rPr>
  </w:style>
  <w:style w:type="character" w:customStyle="1" w:styleId="BodyTextIndentChar">
    <w:name w:val="Body Text Indent Char"/>
    <w:basedOn w:val="DefaultParagraphFont"/>
    <w:link w:val="BodyTextIndent"/>
    <w:rsid w:val="0002429B"/>
    <w:rPr>
      <w:rFonts w:ascii="Arial" w:eastAsia="Times New Roman" w:hAnsi="Arial" w:cs="Times New Roman"/>
      <w:sz w:val="24"/>
      <w:szCs w:val="20"/>
    </w:rPr>
  </w:style>
  <w:style w:type="paragraph" w:styleId="NoSpacing">
    <w:name w:val="No Spacing"/>
    <w:uiPriority w:val="1"/>
    <w:qFormat/>
    <w:rsid w:val="0002429B"/>
  </w:style>
  <w:style w:type="paragraph" w:styleId="ListParagraph">
    <w:name w:val="List Paragraph"/>
    <w:basedOn w:val="Normal"/>
    <w:uiPriority w:val="34"/>
    <w:qFormat/>
    <w:rsid w:val="0002429B"/>
    <w:pPr>
      <w:spacing w:after="200" w:line="276" w:lineRule="auto"/>
      <w:ind w:left="720"/>
      <w:contextualSpacing/>
    </w:pPr>
  </w:style>
  <w:style w:type="paragraph" w:customStyle="1" w:styleId="Blockhead">
    <w:name w:val="Blockhead"/>
    <w:next w:val="Normal"/>
    <w:rsid w:val="0002429B"/>
    <w:pPr>
      <w:spacing w:after="60"/>
    </w:pPr>
    <w:rPr>
      <w:rFonts w:ascii="Arial" w:eastAsia="Times New Roman" w:hAnsi="Arial"/>
      <w:b/>
      <w:noProof/>
      <w:szCs w:val="20"/>
    </w:rPr>
  </w:style>
  <w:style w:type="character" w:styleId="Strong">
    <w:name w:val="Strong"/>
    <w:basedOn w:val="DefaultParagraphFont"/>
    <w:qFormat/>
    <w:rsid w:val="0002429B"/>
    <w:rPr>
      <w:b/>
      <w:bCs/>
    </w:rPr>
  </w:style>
  <w:style w:type="paragraph" w:styleId="BalloonText">
    <w:name w:val="Balloon Text"/>
    <w:basedOn w:val="Normal"/>
    <w:link w:val="BalloonTextChar"/>
    <w:uiPriority w:val="99"/>
    <w:semiHidden/>
    <w:unhideWhenUsed/>
    <w:rsid w:val="00160451"/>
    <w:rPr>
      <w:rFonts w:ascii="Tahoma" w:hAnsi="Tahoma" w:cs="Tahoma"/>
      <w:sz w:val="16"/>
      <w:szCs w:val="16"/>
    </w:rPr>
  </w:style>
  <w:style w:type="character" w:customStyle="1" w:styleId="BalloonTextChar">
    <w:name w:val="Balloon Text Char"/>
    <w:basedOn w:val="DefaultParagraphFont"/>
    <w:link w:val="BalloonText"/>
    <w:uiPriority w:val="99"/>
    <w:semiHidden/>
    <w:rsid w:val="00160451"/>
    <w:rPr>
      <w:rFonts w:ascii="Tahoma" w:hAnsi="Tahoma" w:cs="Tahoma"/>
      <w:sz w:val="16"/>
      <w:szCs w:val="16"/>
    </w:rPr>
  </w:style>
  <w:style w:type="paragraph" w:styleId="NormalWeb">
    <w:name w:val="Normal (Web)"/>
    <w:basedOn w:val="Normal"/>
    <w:uiPriority w:val="99"/>
    <w:semiHidden/>
    <w:unhideWhenUsed/>
    <w:rsid w:val="00F93B3E"/>
    <w:pPr>
      <w:spacing w:before="100" w:beforeAutospacing="1" w:after="100" w:afterAutospacing="1"/>
    </w:pPr>
    <w:rPr>
      <w:rFonts w:ascii="Times New Roman" w:eastAsia="MS PGothic" w:hAnsi="Times New Roman"/>
      <w:sz w:val="24"/>
      <w:szCs w:val="24"/>
      <w:lang w:eastAsia="ja-JP"/>
    </w:rPr>
  </w:style>
  <w:style w:type="character" w:styleId="CommentReference">
    <w:name w:val="annotation reference"/>
    <w:basedOn w:val="DefaultParagraphFont"/>
    <w:uiPriority w:val="99"/>
    <w:semiHidden/>
    <w:unhideWhenUsed/>
    <w:rsid w:val="00BF2F1F"/>
    <w:rPr>
      <w:sz w:val="16"/>
      <w:szCs w:val="16"/>
    </w:rPr>
  </w:style>
  <w:style w:type="paragraph" w:styleId="CommentText">
    <w:name w:val="annotation text"/>
    <w:basedOn w:val="Normal"/>
    <w:link w:val="CommentTextChar"/>
    <w:uiPriority w:val="99"/>
    <w:semiHidden/>
    <w:unhideWhenUsed/>
    <w:rsid w:val="00BF2F1F"/>
    <w:rPr>
      <w:sz w:val="20"/>
      <w:szCs w:val="20"/>
    </w:rPr>
  </w:style>
  <w:style w:type="character" w:customStyle="1" w:styleId="CommentTextChar">
    <w:name w:val="Comment Text Char"/>
    <w:basedOn w:val="DefaultParagraphFont"/>
    <w:link w:val="CommentText"/>
    <w:uiPriority w:val="99"/>
    <w:semiHidden/>
    <w:rsid w:val="00BF2F1F"/>
    <w:rPr>
      <w:sz w:val="20"/>
      <w:szCs w:val="20"/>
    </w:rPr>
  </w:style>
  <w:style w:type="paragraph" w:styleId="CommentSubject">
    <w:name w:val="annotation subject"/>
    <w:basedOn w:val="CommentText"/>
    <w:next w:val="CommentText"/>
    <w:link w:val="CommentSubjectChar"/>
    <w:uiPriority w:val="99"/>
    <w:semiHidden/>
    <w:unhideWhenUsed/>
    <w:rsid w:val="00BF2F1F"/>
    <w:rPr>
      <w:b/>
      <w:bCs/>
    </w:rPr>
  </w:style>
  <w:style w:type="character" w:customStyle="1" w:styleId="CommentSubjectChar">
    <w:name w:val="Comment Subject Char"/>
    <w:basedOn w:val="CommentTextChar"/>
    <w:link w:val="CommentSubject"/>
    <w:uiPriority w:val="99"/>
    <w:semiHidden/>
    <w:rsid w:val="00BF2F1F"/>
    <w:rPr>
      <w:b/>
      <w:bCs/>
      <w:sz w:val="20"/>
      <w:szCs w:val="20"/>
    </w:rPr>
  </w:style>
  <w:style w:type="table" w:styleId="TableGrid">
    <w:name w:val="Table Grid"/>
    <w:basedOn w:val="TableNormal"/>
    <w:uiPriority w:val="59"/>
    <w:rsid w:val="00850B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087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96F34D-2D85-42C5-B5E4-2F6611264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The California Endowment</Company>
  <LinksUpToDate>false</LinksUpToDate>
  <CharactersWithSpaces>7794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Tucker</dc:creator>
  <cp:lastModifiedBy>Michelle Colville</cp:lastModifiedBy>
  <cp:revision>8</cp:revision>
  <cp:lastPrinted>2012-05-08T19:52:00Z</cp:lastPrinted>
  <dcterms:created xsi:type="dcterms:W3CDTF">2013-10-10T22:15:00Z</dcterms:created>
  <dcterms:modified xsi:type="dcterms:W3CDTF">2013-10-10T22:41:00Z</dcterms:modified>
</cp:coreProperties>
</file>