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4"/>
          <w:rtl w:val="0"/>
        </w:rPr>
        <w:t xml:space="preserve">Hotel Receptionist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 (one vacancy) - Released: 09/08/2014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CATEGORY: HOSPITALITY / TOURISM - HOTEL RECEPTIONISTS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Duties: Typical duties of a hotel receptionist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555325" cx="1685292"/>
            <wp:effectExtent t="0" b="0" r="0" l="0"/>
            <wp:docPr id="1" name="image00.png" descr="..."/>
            <a:graphic>
              <a:graphicData uri="http://schemas.openxmlformats.org/drawingml/2006/picture">
                <pic:pic>
                  <pic:nvPicPr>
                    <pic:cNvPr id="0" name="image00.png" descr="...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5325" cx="168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Country: Spain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Autonomous community: Madrid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Province: Madrid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City: Madrid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Salary Range: Without specification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Working hours: Full time, rotatory schedule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Type of contract: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additional benefits: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Education: FP I, Intermediate cycle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Specialty: Hospitality and tourism, kitchen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Professional experience: Not required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Languages: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8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English - Very good command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Transversal skill/competences: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Initiative and dynamism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Functional flexibility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Teamwork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8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Customer Orientation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skills required: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Company: </w:t>
      </w: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Hotels Abalu s.l.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Sector: Services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Subsector: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Website: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Cover letter: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709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ES_JV_8.docx</dc:title>
</cp:coreProperties>
</file>