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6D1BBE" w:rsidRDefault="006D1BBE">
      <w:pPr>
        <w:rPr>
          <w:rFonts w:ascii="Times New Roman" w:hAnsi="Times New Roman" w:cs="Times New Roman"/>
          <w:sz w:val="24"/>
          <w:lang w:val="en-US"/>
        </w:rPr>
      </w:pPr>
    </w:p>
    <w:p w:rsidR="00344BFD" w:rsidRPr="004D5DC1" w:rsidRDefault="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t>Datasets</w:t>
      </w:r>
      <w:r w:rsidR="004D5DC1" w:rsidRPr="004D5DC1">
        <w:rPr>
          <w:rFonts w:ascii="Times New Roman" w:hAnsi="Times New Roman" w:cs="Times New Roman"/>
          <w:b/>
          <w:color w:val="000000" w:themeColor="text1"/>
          <w:sz w:val="24"/>
          <w:u w:val="single"/>
          <w:lang w:val="en-US"/>
        </w:rPr>
        <w:t>:</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C0238A" w:rsidRPr="003C5F84" w:rsidRDefault="00344BFD" w:rsidP="00125D40">
      <w:pPr>
        <w:pStyle w:val="ListParagraph"/>
        <w:numPr>
          <w:ilvl w:val="0"/>
          <w:numId w:val="3"/>
        </w:numPr>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t>HVPPI</w:t>
      </w:r>
      <w:r w:rsidR="0016330A" w:rsidRPr="003C5F84">
        <w:rPr>
          <w:rFonts w:ascii="Times New Roman" w:hAnsi="Times New Roman" w:cs="Times New Roman"/>
          <w:color w:val="FF0000"/>
          <w:sz w:val="24"/>
          <w:lang w:val="en-US"/>
        </w:rPr>
        <w:t xml:space="preserve"> </w:t>
      </w:r>
      <w:r w:rsidR="0016330A"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0016330A" w:rsidRPr="003C5F84">
        <w:rPr>
          <w:rFonts w:ascii="Times New Roman" w:hAnsi="Times New Roman" w:cs="Times New Roman"/>
          <w:color w:val="FF0000"/>
          <w:sz w:val="24"/>
          <w:lang w:val="en-US"/>
        </w:rPr>
      </w:r>
      <w:r w:rsidR="0016330A"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0016330A"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4D5DC1" w:rsidRDefault="00344BFD" w:rsidP="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lastRenderedPageBreak/>
        <w:t>Models</w:t>
      </w:r>
      <w:r w:rsidR="004D5DC1">
        <w:rPr>
          <w:rFonts w:ascii="Times New Roman" w:hAnsi="Times New Roman" w:cs="Times New Roman"/>
          <w:b/>
          <w:color w:val="000000" w:themeColor="text1"/>
          <w:sz w:val="24"/>
          <w:u w:val="single"/>
          <w:lang w:val="en-US"/>
        </w:rPr>
        <w:t>:</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 xml:space="preserve">Performance of classifier can be remarkably good without complex neural network structures, since the </w:t>
      </w:r>
      <w:proofErr w:type="spellStart"/>
      <w:r>
        <w:rPr>
          <w:rFonts w:ascii="Times New Roman" w:hAnsi="Times New Roman" w:cs="Times New Roman"/>
          <w:b/>
          <w:color w:val="000000" w:themeColor="text1"/>
          <w:sz w:val="24"/>
          <w:highlight w:val="yellow"/>
          <w:lang w:val="en-US"/>
        </w:rPr>
        <w:t>embeddings</w:t>
      </w:r>
      <w:proofErr w:type="spellEnd"/>
      <w:r>
        <w:rPr>
          <w:rFonts w:ascii="Times New Roman" w:hAnsi="Times New Roman" w:cs="Times New Roman"/>
          <w:b/>
          <w:color w:val="000000" w:themeColor="text1"/>
          <w:sz w:val="24"/>
          <w:highlight w:val="yellow"/>
          <w:lang w:val="en-US"/>
        </w:rPr>
        <w:t xml:space="preserve">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Leverage accessible network information (adjacent matrix of the network G) to predict links</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E46C86"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(if works better than VAE)</w:t>
      </w:r>
      <w:r w:rsidR="00C549C8" w:rsidRPr="00B038D2">
        <w:rPr>
          <w:rFonts w:ascii="Times New Roman" w:hAnsi="Times New Roman" w:cs="Times New Roman"/>
          <w:color w:val="000000" w:themeColor="text1"/>
          <w:sz w:val="24"/>
          <w:lang w:val="en-US"/>
        </w:rPr>
        <w:br w:type="page"/>
      </w:r>
    </w:p>
    <w:p w:rsidR="00C86A96" w:rsidRPr="004D5DC1" w:rsidRDefault="00344BFD" w:rsidP="00C0238A">
      <w:pPr>
        <w:rPr>
          <w:rStyle w:val="Hyperlink"/>
          <w:rFonts w:ascii="Times New Roman" w:hAnsi="Times New Roman" w:cs="Times New Roman"/>
          <w:b/>
          <w:color w:val="000000" w:themeColor="text1"/>
          <w:sz w:val="24"/>
          <w:lang w:val="en-US"/>
        </w:rPr>
      </w:pPr>
      <w:r w:rsidRPr="004D5DC1">
        <w:rPr>
          <w:rFonts w:ascii="Times New Roman" w:hAnsi="Times New Roman" w:cs="Times New Roman"/>
          <w:b/>
          <w:color w:val="000000" w:themeColor="text1"/>
          <w:sz w:val="24"/>
          <w:u w:val="single"/>
          <w:lang w:val="en-US"/>
        </w:rPr>
        <w:lastRenderedPageBreak/>
        <w:t>Graph embedding methods</w:t>
      </w:r>
      <w:r w:rsidR="004D5DC1">
        <w:rPr>
          <w:rFonts w:ascii="Times New Roman" w:hAnsi="Times New Roman" w:cs="Times New Roman"/>
          <w:b/>
          <w:color w:val="000000" w:themeColor="text1"/>
          <w:sz w:val="24"/>
          <w:u w:val="single"/>
          <w:lang w:val="en-US"/>
        </w:rPr>
        <w:t>:</w:t>
      </w:r>
      <w:r w:rsidR="008979C0" w:rsidRPr="008979C0">
        <w:rPr>
          <w:rFonts w:ascii="Times New Roman" w:hAnsi="Times New Roman" w:cs="Times New Roman"/>
          <w:b/>
          <w:color w:val="000000" w:themeColor="text1"/>
          <w:sz w:val="24"/>
          <w:lang w:val="en-US"/>
        </w:rPr>
        <w:t xml:space="preserve"> </w:t>
      </w:r>
      <w:r w:rsidR="008979C0"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0A6C02"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0A6C02"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0A6C02"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0A6C02" w:rsidP="00B954BF">
      <w:pPr>
        <w:pStyle w:val="ListParagraph"/>
        <w:ind w:left="1080"/>
        <w:rPr>
          <w:rFonts w:ascii="Times New Roman" w:hAnsi="Times New Roman" w:cs="Times New Roman"/>
          <w:sz w:val="24"/>
          <w:szCs w:val="24"/>
        </w:rPr>
      </w:pPr>
      <w:hyperlink r:id="rId11" w:history="1">
        <w:r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0A6C02"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0A6C02"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BF7462" w:rsidRPr="00322837" w:rsidRDefault="00975119" w:rsidP="00322837">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r w:rsidR="00322837">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0A6C02"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0A6C02"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Default="0075202C" w:rsidP="00680C3D">
      <w:pPr>
        <w:spacing w:after="0"/>
        <w:rPr>
          <w:rFonts w:ascii="Times New Roman" w:hAnsi="Times New Roman" w:cs="Times New Roman"/>
          <w:b/>
          <w:color w:val="FF0000"/>
          <w:sz w:val="24"/>
          <w:u w:val="single"/>
          <w:lang w:val="en-US"/>
        </w:rPr>
      </w:pPr>
      <w:r w:rsidRPr="0075202C">
        <w:rPr>
          <w:rFonts w:ascii="Times New Roman" w:hAnsi="Times New Roman" w:cs="Times New Roman"/>
          <w:b/>
          <w:color w:val="FF0000"/>
          <w:sz w:val="24"/>
          <w:u w:val="single"/>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F77378" w:rsidRDefault="00413A68" w:rsidP="00125D40">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413A68" w:rsidRPr="00413A68" w:rsidRDefault="00413A68" w:rsidP="00413A68">
      <w:pPr>
        <w:pStyle w:val="ListParagraph"/>
        <w:ind w:left="1080"/>
        <w:rPr>
          <w:rFonts w:ascii="Times New Roman" w:hAnsi="Times New Roman" w:cs="Times New Roman"/>
          <w:color w:val="7030A0"/>
          <w:sz w:val="24"/>
          <w:lang w:val="en-US"/>
        </w:rPr>
      </w:pPr>
    </w:p>
    <w:p w:rsidR="00A97F7F" w:rsidRPr="00A97F7F" w:rsidRDefault="00A97F7F" w:rsidP="00A97F7F">
      <w:pPr>
        <w:pStyle w:val="ListParagraph"/>
        <w:rPr>
          <w:rFonts w:ascii="Times New Roman" w:hAnsi="Times New Roman" w:cs="Times New Roman"/>
          <w:sz w:val="24"/>
          <w:lang w:val="en-US"/>
        </w:rPr>
      </w:pPr>
      <w:r>
        <w:rPr>
          <w:rFonts w:ascii="Times New Roman" w:hAnsi="Times New Roman" w:cs="Times New Roman"/>
          <w:sz w:val="24"/>
          <w:lang w:val="en-US"/>
        </w:rPr>
        <w:t xml:space="preserve">If </w:t>
      </w:r>
      <w:r w:rsidRPr="00B71D99">
        <w:rPr>
          <w:rFonts w:ascii="Times New Roman" w:hAnsi="Times New Roman" w:cs="Times New Roman"/>
          <w:sz w:val="24"/>
          <w:highlight w:val="lightGray"/>
          <w:lang w:val="en-US"/>
        </w:rPr>
        <w:t>node2vec+</w:t>
      </w:r>
      <w:r>
        <w:rPr>
          <w:rFonts w:ascii="Times New Roman" w:hAnsi="Times New Roman" w:cs="Times New Roman"/>
          <w:sz w:val="24"/>
          <w:lang w:val="en-US"/>
        </w:rPr>
        <w:t xml:space="preserve"> works, otherwise just mention the above. And </w:t>
      </w:r>
      <w:r w:rsidR="00881B20">
        <w:rPr>
          <w:rFonts w:ascii="Times New Roman" w:hAnsi="Times New Roman" w:cs="Times New Roman"/>
          <w:sz w:val="24"/>
          <w:lang w:val="en-US"/>
        </w:rPr>
        <w:t>mention</w:t>
      </w:r>
      <w:r>
        <w:rPr>
          <w:rFonts w:ascii="Times New Roman" w:hAnsi="Times New Roman" w:cs="Times New Roman"/>
          <w:sz w:val="24"/>
          <w:lang w:val="en-US"/>
        </w:rPr>
        <w:t xml:space="preserve"> limitations with current algorithms?</w:t>
      </w:r>
    </w:p>
    <w:p w:rsidR="006C4E11" w:rsidRPr="00BD465C" w:rsidRDefault="006C4E11" w:rsidP="00BD465C">
      <w:pPr>
        <w:pStyle w:val="ListParagraph"/>
        <w:rPr>
          <w:rFonts w:ascii="Times New Roman" w:hAnsi="Times New Roman" w:cs="Times New Roman"/>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lastRenderedPageBreak/>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Default="00D2385D" w:rsidP="00125D40">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 xml:space="preserve">Unusual (non-standard) amino acid residues </w:t>
      </w:r>
      <w:r w:rsidRPr="00D2385D">
        <w:rPr>
          <w:rFonts w:ascii="Times New Roman" w:hAnsi="Times New Roman" w:cs="Times New Roman"/>
          <w:sz w:val="24"/>
          <w:lang w:val="en-US"/>
        </w:rPr>
        <w:t>(e.g. ‘X’)</w:t>
      </w:r>
      <w:r>
        <w:rPr>
          <w:rFonts w:ascii="Times New Roman" w:hAnsi="Times New Roman" w:cs="Times New Roman"/>
          <w:sz w:val="24"/>
          <w:lang w:val="en-US"/>
        </w:rPr>
        <w:t xml:space="preserve"> cannot be encoded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4D5DC1" w:rsidRDefault="004D5DC1"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d</w:t>
      </w:r>
      <w:r w:rsidRPr="00D831D4">
        <w:rPr>
          <w:rFonts w:ascii="Times New Roman" w:hAnsi="Times New Roman" w:cs="Times New Roman"/>
          <w:sz w:val="24"/>
          <w:lang w:val="en-US"/>
        </w:rPr>
        <w:t xml:space="preserve">eep </w:t>
      </w:r>
      <w:proofErr w:type="spellStart"/>
      <w:r w:rsidRPr="00D831D4">
        <w:rPr>
          <w:rFonts w:ascii="Times New Roman" w:hAnsi="Times New Roman" w:cs="Times New Roman"/>
          <w:sz w:val="24"/>
          <w:lang w:val="en-US"/>
        </w:rPr>
        <w:t>autoencoder</w:t>
      </w:r>
      <w:proofErr w:type="spellEnd"/>
      <w:r w:rsidRPr="00D831D4">
        <w:rPr>
          <w:rFonts w:ascii="Times New Roman" w:hAnsi="Times New Roman" w:cs="Times New Roman"/>
          <w:sz w:val="24"/>
          <w:lang w:val="en-US"/>
        </w:rPr>
        <w:t xml:space="preserve"> along with Laplacian </w:t>
      </w:r>
      <w:proofErr w:type="spellStart"/>
      <w:r w:rsidRPr="00D831D4">
        <w:rPr>
          <w:rFonts w:ascii="Times New Roman" w:hAnsi="Times New Roman" w:cs="Times New Roman"/>
          <w:sz w:val="24"/>
          <w:lang w:val="en-US"/>
        </w:rPr>
        <w:t>Eigenmaps</w:t>
      </w:r>
      <w:proofErr w:type="spellEnd"/>
      <w:r w:rsidRPr="00D831D4">
        <w:rPr>
          <w:rFonts w:ascii="Times New Roman" w:hAnsi="Times New Roman" w:cs="Times New Roman"/>
          <w:sz w:val="24"/>
          <w:lang w:val="en-US"/>
        </w:rPr>
        <w:t xml:space="preserve"> (</w:t>
      </w:r>
      <w:r w:rsidRPr="00D831D4">
        <w:rPr>
          <w:rFonts w:ascii="Times New Roman" w:hAnsi="Times New Roman" w:cs="Times New Roman"/>
          <w:sz w:val="24"/>
          <w:szCs w:val="24"/>
          <w:lang w:val="en-US"/>
        </w:rPr>
        <w:t>Matrix factorization-based)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simultaneously optimizes the first-order and second-order proximity. The learned representations </w:t>
      </w:r>
      <w:r w:rsidRPr="009F72B6">
        <w:rPr>
          <w:rFonts w:ascii="Times New Roman" w:hAnsi="Times New Roman" w:cs="Times New Roman"/>
          <w:sz w:val="24"/>
          <w:szCs w:val="24"/>
          <w:highlight w:val="yellow"/>
          <w:lang w:val="en-US"/>
        </w:rPr>
        <w:t>preserve the local and global network structure</w:t>
      </w:r>
      <w:r>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2A0E5D" w:rsidRDefault="002A0E5D" w:rsidP="00125D40">
      <w:pPr>
        <w:pStyle w:val="ListParagraph"/>
        <w:numPr>
          <w:ilvl w:val="0"/>
          <w:numId w:val="20"/>
        </w:numPr>
        <w:spacing w:after="0"/>
        <w:rPr>
          <w:rFonts w:ascii="Times New Roman" w:hAnsi="Times New Roman" w:cs="Times New Roman"/>
          <w:sz w:val="24"/>
          <w:lang w:val="en-US"/>
        </w:rPr>
      </w:pPr>
      <w:r w:rsidRPr="002A0E5D">
        <w:rPr>
          <w:rFonts w:ascii="Times New Roman" w:hAnsi="Times New Roman" w:cs="Times New Roman"/>
          <w:sz w:val="24"/>
          <w:lang w:val="en-US"/>
        </w:rPr>
        <w:lastRenderedPageBreak/>
        <w:t>VAE</w:t>
      </w:r>
    </w:p>
    <w:p w:rsidR="00D00505" w:rsidRDefault="00D00505" w:rsidP="002A0E5D">
      <w:pPr>
        <w:pStyle w:val="ListParagraph"/>
        <w:spacing w:after="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0A6C02"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b/>
          <w:sz w:val="24"/>
          <w:highlight w:val="yellow"/>
          <w:lang w:val="en-US"/>
        </w:rPr>
        <w:lastRenderedPageBreak/>
        <w:t>[Effects of hyper-parameters]</w:t>
      </w:r>
      <w:r>
        <w:rPr>
          <w:rFonts w:ascii="Times New Roman" w:hAnsi="Times New Roman" w:cs="Times New Roman"/>
          <w:b/>
          <w:sz w:val="24"/>
          <w:lang w:val="en-US"/>
        </w:rPr>
        <w:t xml:space="preserve"> </w:t>
      </w: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5-fold cross validation</w:t>
      </w: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bookmarkStart w:id="0" w:name="_GoBack"/>
      <w:bookmarkEnd w:id="0"/>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91DCE">
        <w:rPr>
          <w:rFonts w:ascii="Times New Roman" w:hAnsi="Times New Roman" w:cs="Times New Roman"/>
          <w:sz w:val="24"/>
          <w:lang w:val="en-US"/>
        </w:rPr>
        <w:t xml:space="preserve"> IAV, 15, 643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0A6C02"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0A6C02"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0A6C02"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482AB8" w:rsidRPr="000F331F" w:rsidRDefault="00C66F4C">
      <w:pPr>
        <w:rPr>
          <w:rFonts w:ascii="Times New Roman" w:hAnsi="Times New Roman" w:cs="Times New Roman"/>
          <w:lang w:val="en-US"/>
        </w:rPr>
      </w:pPr>
      <w:r w:rsidRPr="000F331F">
        <w:rPr>
          <w:rFonts w:ascii="Times New Roman" w:hAnsi="Times New Roman" w:cs="Times New Roman"/>
          <w:sz w:val="24"/>
          <w:lang w:val="en-US"/>
        </w:rPr>
        <w:t>Expansion to other strains</w:t>
      </w:r>
      <w:r w:rsidR="00482AB8"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5C1" w:rsidRDefault="000F35C1" w:rsidP="00C9796A">
      <w:pPr>
        <w:spacing w:after="0" w:line="240" w:lineRule="auto"/>
      </w:pPr>
      <w:r>
        <w:separator/>
      </w:r>
    </w:p>
  </w:endnote>
  <w:endnote w:type="continuationSeparator" w:id="0">
    <w:p w:rsidR="000F35C1" w:rsidRDefault="000F35C1"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C02" w:rsidRPr="00C0238A" w:rsidRDefault="000A6C02"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5C1" w:rsidRDefault="000F35C1" w:rsidP="00C9796A">
      <w:pPr>
        <w:spacing w:after="0" w:line="240" w:lineRule="auto"/>
      </w:pPr>
      <w:r>
        <w:separator/>
      </w:r>
    </w:p>
  </w:footnote>
  <w:footnote w:type="continuationSeparator" w:id="0">
    <w:p w:rsidR="000F35C1" w:rsidRDefault="000F35C1"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C02" w:rsidRDefault="000A6C02">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0A6C02" w:rsidRDefault="000A6C0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0A6C02" w:rsidRDefault="000A6C0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C02" w:rsidRDefault="000A6C02">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A6C02" w:rsidRDefault="000A6C0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A6C02" w:rsidRDefault="000A6C0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10"/>
  </w:num>
  <w:num w:numId="4">
    <w:abstractNumId w:val="26"/>
  </w:num>
  <w:num w:numId="5">
    <w:abstractNumId w:val="18"/>
  </w:num>
  <w:num w:numId="6">
    <w:abstractNumId w:val="7"/>
  </w:num>
  <w:num w:numId="7">
    <w:abstractNumId w:val="4"/>
  </w:num>
  <w:num w:numId="8">
    <w:abstractNumId w:val="1"/>
  </w:num>
  <w:num w:numId="9">
    <w:abstractNumId w:val="13"/>
  </w:num>
  <w:num w:numId="10">
    <w:abstractNumId w:val="17"/>
  </w:num>
  <w:num w:numId="11">
    <w:abstractNumId w:val="2"/>
  </w:num>
  <w:num w:numId="12">
    <w:abstractNumId w:val="29"/>
  </w:num>
  <w:num w:numId="13">
    <w:abstractNumId w:val="19"/>
  </w:num>
  <w:num w:numId="14">
    <w:abstractNumId w:val="32"/>
  </w:num>
  <w:num w:numId="15">
    <w:abstractNumId w:val="11"/>
  </w:num>
  <w:num w:numId="16">
    <w:abstractNumId w:val="30"/>
  </w:num>
  <w:num w:numId="17">
    <w:abstractNumId w:val="31"/>
  </w:num>
  <w:num w:numId="18">
    <w:abstractNumId w:val="16"/>
  </w:num>
  <w:num w:numId="19">
    <w:abstractNumId w:val="20"/>
  </w:num>
  <w:num w:numId="20">
    <w:abstractNumId w:val="12"/>
  </w:num>
  <w:num w:numId="21">
    <w:abstractNumId w:val="6"/>
  </w:num>
  <w:num w:numId="22">
    <w:abstractNumId w:val="27"/>
  </w:num>
  <w:num w:numId="23">
    <w:abstractNumId w:val="23"/>
  </w:num>
  <w:num w:numId="24">
    <w:abstractNumId w:val="5"/>
  </w:num>
  <w:num w:numId="25">
    <w:abstractNumId w:val="22"/>
  </w:num>
  <w:num w:numId="26">
    <w:abstractNumId w:val="8"/>
  </w:num>
  <w:num w:numId="27">
    <w:abstractNumId w:val="24"/>
  </w:num>
  <w:num w:numId="28">
    <w:abstractNumId w:val="9"/>
  </w:num>
  <w:num w:numId="29">
    <w:abstractNumId w:val="3"/>
  </w:num>
  <w:num w:numId="30">
    <w:abstractNumId w:val="25"/>
  </w:num>
  <w:num w:numId="31">
    <w:abstractNumId w:val="14"/>
  </w:num>
  <w:num w:numId="32">
    <w:abstractNumId w:val="0"/>
  </w:num>
  <w:num w:numId="33">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551C"/>
    <w:rsid w:val="001D67B9"/>
    <w:rsid w:val="001E37B0"/>
    <w:rsid w:val="001F1875"/>
    <w:rsid w:val="002010D0"/>
    <w:rsid w:val="00221918"/>
    <w:rsid w:val="00223873"/>
    <w:rsid w:val="00235411"/>
    <w:rsid w:val="002548D0"/>
    <w:rsid w:val="00257DAF"/>
    <w:rsid w:val="0026003F"/>
    <w:rsid w:val="002736D2"/>
    <w:rsid w:val="002746CD"/>
    <w:rsid w:val="002825A3"/>
    <w:rsid w:val="002843DF"/>
    <w:rsid w:val="002974F1"/>
    <w:rsid w:val="002A0E5D"/>
    <w:rsid w:val="002C4866"/>
    <w:rsid w:val="002C5C0E"/>
    <w:rsid w:val="002D701C"/>
    <w:rsid w:val="002F469F"/>
    <w:rsid w:val="0030760E"/>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4002D3"/>
    <w:rsid w:val="00407BA3"/>
    <w:rsid w:val="00413A68"/>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D98"/>
    <w:rsid w:val="008A69DF"/>
    <w:rsid w:val="008A6F44"/>
    <w:rsid w:val="008C4F40"/>
    <w:rsid w:val="008E02B8"/>
    <w:rsid w:val="00907CD6"/>
    <w:rsid w:val="00912C9C"/>
    <w:rsid w:val="009154EA"/>
    <w:rsid w:val="0092332E"/>
    <w:rsid w:val="009255F8"/>
    <w:rsid w:val="00947C41"/>
    <w:rsid w:val="00953775"/>
    <w:rsid w:val="00975119"/>
    <w:rsid w:val="00983101"/>
    <w:rsid w:val="00985040"/>
    <w:rsid w:val="0099633F"/>
    <w:rsid w:val="009976D5"/>
    <w:rsid w:val="009A3C93"/>
    <w:rsid w:val="009B0826"/>
    <w:rsid w:val="009B4660"/>
    <w:rsid w:val="009C4C6D"/>
    <w:rsid w:val="009D58DB"/>
    <w:rsid w:val="009E0A22"/>
    <w:rsid w:val="009F72B6"/>
    <w:rsid w:val="009F78E1"/>
    <w:rsid w:val="00A05366"/>
    <w:rsid w:val="00A111F0"/>
    <w:rsid w:val="00A23334"/>
    <w:rsid w:val="00A2532B"/>
    <w:rsid w:val="00A27B98"/>
    <w:rsid w:val="00A612AA"/>
    <w:rsid w:val="00A625BA"/>
    <w:rsid w:val="00A70D2E"/>
    <w:rsid w:val="00A7121C"/>
    <w:rsid w:val="00A72417"/>
    <w:rsid w:val="00A832D9"/>
    <w:rsid w:val="00A86C33"/>
    <w:rsid w:val="00A86D55"/>
    <w:rsid w:val="00A943D4"/>
    <w:rsid w:val="00A97F7F"/>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462"/>
    <w:rsid w:val="00C0238A"/>
    <w:rsid w:val="00C03E5F"/>
    <w:rsid w:val="00C10567"/>
    <w:rsid w:val="00C10F2F"/>
    <w:rsid w:val="00C2061C"/>
    <w:rsid w:val="00C2387F"/>
    <w:rsid w:val="00C2578C"/>
    <w:rsid w:val="00C27102"/>
    <w:rsid w:val="00C30C6C"/>
    <w:rsid w:val="00C40B49"/>
    <w:rsid w:val="00C47824"/>
    <w:rsid w:val="00C52B1B"/>
    <w:rsid w:val="00C52FC4"/>
    <w:rsid w:val="00C549C8"/>
    <w:rsid w:val="00C654C3"/>
    <w:rsid w:val="00C66F4C"/>
    <w:rsid w:val="00C8376A"/>
    <w:rsid w:val="00C86A96"/>
    <w:rsid w:val="00C87261"/>
    <w:rsid w:val="00C96415"/>
    <w:rsid w:val="00C9689D"/>
    <w:rsid w:val="00C9796A"/>
    <w:rsid w:val="00CA2793"/>
    <w:rsid w:val="00CB43E9"/>
    <w:rsid w:val="00CB73BA"/>
    <w:rsid w:val="00CE2039"/>
    <w:rsid w:val="00D00505"/>
    <w:rsid w:val="00D046F9"/>
    <w:rsid w:val="00D14C21"/>
    <w:rsid w:val="00D16132"/>
    <w:rsid w:val="00D20B52"/>
    <w:rsid w:val="00D21000"/>
    <w:rsid w:val="00D2385D"/>
    <w:rsid w:val="00D34905"/>
    <w:rsid w:val="00D44F12"/>
    <w:rsid w:val="00D52B0E"/>
    <w:rsid w:val="00D70C61"/>
    <w:rsid w:val="00D729BB"/>
    <w:rsid w:val="00D805EC"/>
    <w:rsid w:val="00D831D4"/>
    <w:rsid w:val="00D901ED"/>
    <w:rsid w:val="00D91E1C"/>
    <w:rsid w:val="00D92C24"/>
    <w:rsid w:val="00DA3B0D"/>
    <w:rsid w:val="00DA46D2"/>
    <w:rsid w:val="00DB07B5"/>
    <w:rsid w:val="00E022AD"/>
    <w:rsid w:val="00E221D5"/>
    <w:rsid w:val="00E22596"/>
    <w:rsid w:val="00E4575A"/>
    <w:rsid w:val="00E46C86"/>
    <w:rsid w:val="00E51A49"/>
    <w:rsid w:val="00E56E0D"/>
    <w:rsid w:val="00E83AB8"/>
    <w:rsid w:val="00E8755D"/>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F23"/>
    <w:rsid w:val="00F86452"/>
    <w:rsid w:val="00F91DCE"/>
    <w:rsid w:val="00F91F9B"/>
    <w:rsid w:val="00FA6A4C"/>
    <w:rsid w:val="00FB6446"/>
    <w:rsid w:val="00FC53FD"/>
    <w:rsid w:val="00FD2DAA"/>
    <w:rsid w:val="00FD5F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EC868"/>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16445</TotalTime>
  <Pages>65</Pages>
  <Words>23798</Words>
  <Characters>135651</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159131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108</cp:revision>
  <dcterms:created xsi:type="dcterms:W3CDTF">2022-10-28T08:47:00Z</dcterms:created>
  <dcterms:modified xsi:type="dcterms:W3CDTF">2022-12-08T09:53:00Z</dcterms:modified>
</cp:coreProperties>
</file>