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CDDB3">
      <w:pPr>
        <w:jc w:val="center"/>
      </w:pPr>
      <w:r>
        <w:rPr>
          <w:rFonts w:ascii="微软雅黑" w:hAnsi="微软雅黑" w:eastAsia="微软雅黑"/>
          <w:b/>
          <w:sz w:val="44"/>
        </w:rPr>
        <w:t>试产搭配表智能生成助手</w:t>
      </w:r>
      <w:r>
        <w:rPr>
          <w:rFonts w:ascii="微软雅黑" w:hAnsi="微软雅黑" w:eastAsia="微软雅黑"/>
          <w:b/>
          <w:sz w:val="44"/>
        </w:rPr>
        <w:br w:type="textWrapping"/>
      </w:r>
      <w:r>
        <w:rPr>
          <w:rFonts w:ascii="微软雅黑" w:hAnsi="微软雅黑" w:eastAsia="微软雅黑"/>
          <w:b/>
          <w:sz w:val="44"/>
        </w:rPr>
        <w:t>操作手册</w:t>
      </w:r>
    </w:p>
    <w:p w14:paraId="626B4E5D"/>
    <w:p w14:paraId="15123DDD">
      <w:pPr>
        <w:pStyle w:val="3"/>
      </w:pPr>
      <w:r>
        <w:rPr>
          <w:rFonts w:ascii="微软雅黑" w:hAnsi="微软雅黑" w:eastAsia="微软雅黑"/>
          <w:color w:val="1A1A1A"/>
        </w:rPr>
        <w:t>一、安装与登录</w:t>
      </w:r>
    </w:p>
    <w:p w14:paraId="066C4DBA">
      <w:pPr>
        <w:pStyle w:val="4"/>
      </w:pPr>
      <w:r>
        <w:rPr>
          <w:rFonts w:ascii="微软雅黑" w:hAnsi="微软雅黑" w:eastAsia="微软雅黑"/>
          <w:color w:val="1A1A1A"/>
        </w:rPr>
        <w:t>1. 下载安装</w:t>
      </w:r>
    </w:p>
    <w:p w14:paraId="021082AA">
      <w:pPr>
        <w:pStyle w:val="16"/>
      </w:pPr>
      <w:r>
        <w:rPr>
          <w:rFonts w:ascii="微软雅黑" w:hAnsi="微软雅黑" w:eastAsia="微软雅黑"/>
          <w:sz w:val="22"/>
        </w:rPr>
        <w:t>登录 Dora 平台</w:t>
      </w:r>
    </w:p>
    <w:p w14:paraId="5B9C41B9">
      <w:pPr>
        <w:pStyle w:val="16"/>
      </w:pPr>
      <w:r>
        <w:rPr>
          <w:rFonts w:ascii="微软雅黑" w:hAnsi="微软雅黑" w:eastAsia="微软雅黑"/>
          <w:sz w:val="22"/>
        </w:rPr>
        <w:t>进入「应用市场」</w:t>
      </w:r>
    </w:p>
    <w:p w14:paraId="6BB57205">
      <w:pPr>
        <w:pStyle w:val="16"/>
      </w:pPr>
      <w:r>
        <w:rPr>
          <w:rFonts w:ascii="微软雅黑" w:hAnsi="微软雅黑" w:eastAsia="微软雅黑"/>
          <w:sz w:val="22"/>
        </w:rPr>
        <w:t>搜索「试产搭配表」</w:t>
      </w:r>
    </w:p>
    <w:p w14:paraId="402718F5">
      <w:pPr>
        <w:pStyle w:val="16"/>
      </w:pPr>
      <w:r>
        <w:rPr>
          <w:rFonts w:ascii="微软雅黑" w:hAnsi="微软雅黑" w:eastAsia="微软雅黑"/>
          <w:sz w:val="22"/>
        </w:rPr>
        <w:t>点击「下载」，按提示完成安装</w:t>
      </w:r>
    </w:p>
    <w:p w14:paraId="6EA76946">
      <w:pPr>
        <w:jc w:val="center"/>
      </w:pPr>
      <w:r>
        <w:drawing>
          <wp:inline distT="0" distB="0" distL="114300" distR="114300">
            <wp:extent cx="5718175" cy="3025140"/>
            <wp:effectExtent l="0" t="0" r="1206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CD44">
      <w:pPr>
        <w:jc w:val="center"/>
      </w:pPr>
      <w:r>
        <w:rPr>
          <w:rFonts w:ascii="微软雅黑" w:hAnsi="微软雅黑" w:eastAsia="微软雅黑"/>
          <w:color w:val="666666"/>
          <w:sz w:val="18"/>
        </w:rPr>
        <w:t>图1  Dora 应用市场下载试产搭配表</w:t>
      </w:r>
    </w:p>
    <w:p w14:paraId="4C29861E">
      <w:pPr>
        <w:pStyle w:val="4"/>
      </w:pPr>
      <w:r>
        <w:rPr>
          <w:rFonts w:ascii="微软雅黑" w:hAnsi="微软雅黑" w:eastAsia="微软雅黑"/>
          <w:color w:val="1A1A1A"/>
        </w:rPr>
        <w:t>2. 打开并登录</w:t>
      </w:r>
    </w:p>
    <w:p w14:paraId="7DD2E966">
      <w:pPr>
        <w:pStyle w:val="16"/>
      </w:pPr>
      <w:r>
        <w:rPr>
          <w:rFonts w:ascii="微软雅黑" w:hAnsi="微软雅黑" w:eastAsia="微软雅黑"/>
          <w:sz w:val="22"/>
        </w:rPr>
        <w:t>打开「试产搭配表智能生成助手」</w:t>
      </w:r>
    </w:p>
    <w:p w14:paraId="67EA4E0F">
      <w:pPr>
        <w:pStyle w:val="16"/>
      </w:pPr>
      <w:r>
        <w:rPr>
          <w:rFonts w:ascii="微软雅黑" w:hAnsi="微软雅黑" w:eastAsia="微软雅黑"/>
          <w:sz w:val="22"/>
        </w:rPr>
        <w:t>使用 Dora 账号和密码登录</w:t>
      </w:r>
    </w:p>
    <w:p w14:paraId="4689E8AE">
      <w:pPr>
        <w:jc w:val="center"/>
      </w:pPr>
      <w:r>
        <w:drawing>
          <wp:inline distT="0" distB="0" distL="114300" distR="114300">
            <wp:extent cx="5834380" cy="310007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438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1882">
      <w:pPr>
        <w:jc w:val="center"/>
      </w:pPr>
      <w:r>
        <w:rPr>
          <w:rFonts w:ascii="微软雅黑" w:hAnsi="微软雅黑" w:eastAsia="微软雅黑"/>
          <w:color w:val="666666"/>
          <w:sz w:val="18"/>
        </w:rPr>
        <w:t>图2  应用登录界面</w:t>
      </w:r>
    </w:p>
    <w:p w14:paraId="148C11A5">
      <w:pPr>
        <w:pStyle w:val="3"/>
      </w:pPr>
      <w:r>
        <w:rPr>
          <w:rFonts w:ascii="微软雅黑" w:hAnsi="微软雅黑" w:eastAsia="微软雅黑"/>
          <w:color w:val="1A1A1A"/>
        </w:rPr>
        <w:t>二、操作流程（5 步）</w:t>
      </w:r>
    </w:p>
    <w:p w14:paraId="3CB6DAB4">
      <w:r>
        <w:rPr>
          <w:rFonts w:ascii="微软雅黑" w:hAnsi="微软雅黑" w:eastAsia="微软雅黑"/>
          <w:b w:val="0"/>
          <w:sz w:val="22"/>
        </w:rPr>
        <w:t>整体流程：填写必填项 → 自动获取 → 补充完善 → 计算与校验 → 导出预览</w:t>
      </w:r>
    </w:p>
    <w:p w14:paraId="65CB0ED5">
      <w:pPr>
        <w:pStyle w:val="4"/>
      </w:pPr>
      <w:r>
        <w:rPr>
          <w:rFonts w:ascii="微软雅黑" w:hAnsi="微软雅黑" w:eastAsia="微软雅黑"/>
          <w:color w:val="1A1A1A"/>
        </w:rPr>
        <w:t>第一步：填写必填项</w:t>
      </w:r>
    </w:p>
    <w:p w14:paraId="4AA5558F">
      <w:r>
        <w:rPr>
          <w:rFonts w:ascii="微软雅黑" w:hAnsi="微软雅黑" w:eastAsia="微软雅黑"/>
          <w:b w:val="0"/>
          <w:sz w:val="22"/>
        </w:rPr>
        <w:t>填写项目名称、模板选择、试产阶段，并上传数据源：</w:t>
      </w:r>
    </w:p>
    <w:p w14:paraId="07AB7371">
      <w:pPr>
        <w:pStyle w:val="16"/>
      </w:pPr>
      <w:r>
        <w:rPr>
          <w:rFonts w:ascii="微软雅黑" w:hAnsi="微软雅黑" w:eastAsia="微软雅黑"/>
          <w:sz w:val="22"/>
        </w:rPr>
        <w:t>配置表</w:t>
      </w:r>
    </w:p>
    <w:p w14:paraId="29438A97">
      <w:pPr>
        <w:pStyle w:val="16"/>
      </w:pPr>
      <w:r>
        <w:rPr>
          <w:rFonts w:ascii="微软雅黑" w:hAnsi="微软雅黑" w:eastAsia="微软雅黑"/>
          <w:sz w:val="22"/>
        </w:rPr>
        <w:t>样机收集表</w:t>
      </w:r>
    </w:p>
    <w:p w14:paraId="7A7F0552">
      <w:pPr>
        <w:pStyle w:val="16"/>
      </w:pPr>
      <w:r>
        <w:rPr>
          <w:rFonts w:ascii="微软雅黑" w:hAnsi="微软雅黑" w:eastAsia="微软雅黑"/>
          <w:sz w:val="22"/>
        </w:rPr>
        <w:t>物料表</w:t>
      </w:r>
    </w:p>
    <w:p w14:paraId="43CEA162">
      <w:pPr>
        <w:pStyle w:val="16"/>
      </w:pPr>
      <w:r>
        <w:rPr>
          <w:rFonts w:ascii="微软雅黑" w:hAnsi="微软雅黑" w:eastAsia="微软雅黑"/>
          <w:sz w:val="22"/>
        </w:rPr>
        <w:t>关键物料选型模板</w:t>
      </w:r>
    </w:p>
    <w:p w14:paraId="0F73DF7A">
      <w:r>
        <w:rPr>
          <w:rFonts w:ascii="微软雅黑" w:hAnsi="微软雅黑" w:eastAsia="微软雅黑"/>
          <w:b w:val="0"/>
          <w:sz w:val="22"/>
        </w:rPr>
        <w:t>主板标识：</w:t>
      </w:r>
    </w:p>
    <w:p w14:paraId="3CCB89E4">
      <w:pPr>
        <w:pStyle w:val="16"/>
      </w:pPr>
      <w:r>
        <w:rPr>
          <w:rFonts w:ascii="微软雅黑" w:hAnsi="微软雅黑" w:eastAsia="微软雅黑"/>
          <w:sz w:val="22"/>
        </w:rPr>
        <w:t>上传配置表后，系统自动解析主板标识（如 A1、B1、C1），勾选需要的标识</w:t>
      </w:r>
    </w:p>
    <w:p w14:paraId="2C4D21C1">
      <w:pPr>
        <w:pStyle w:val="16"/>
      </w:pPr>
      <w:r>
        <w:rPr>
          <w:rFonts w:ascii="微软雅黑" w:hAnsi="微软雅黑" w:eastAsia="微软雅黑"/>
          <w:sz w:val="22"/>
        </w:rPr>
        <w:t>无配置表时，在底部手动输入主板标识并点击「添加」</w:t>
      </w:r>
    </w:p>
    <w:p w14:paraId="3F3D9661">
      <w:pPr>
        <w:jc w:val="center"/>
      </w:pPr>
      <w:r>
        <w:drawing>
          <wp:inline distT="0" distB="0" distL="114300" distR="114300">
            <wp:extent cx="5853430" cy="3086735"/>
            <wp:effectExtent l="0" t="0" r="1397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CB88">
      <w:pPr>
        <w:jc w:val="center"/>
      </w:pPr>
      <w:r>
        <w:rPr>
          <w:rFonts w:ascii="微软雅黑" w:hAnsi="微软雅黑" w:eastAsia="微软雅黑"/>
          <w:color w:val="666666"/>
          <w:sz w:val="18"/>
        </w:rPr>
        <w:t>图3  第一步：填写基本信息与上传数据源</w:t>
      </w:r>
    </w:p>
    <w:p w14:paraId="31618F10">
      <w:pPr>
        <w:jc w:val="center"/>
      </w:pPr>
      <w:r>
        <w:drawing>
          <wp:inline distT="0" distB="0" distL="114300" distR="114300">
            <wp:extent cx="5829935" cy="3109595"/>
            <wp:effectExtent l="0" t="0" r="6985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935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F98A3">
      <w:pPr>
        <w:jc w:val="center"/>
      </w:pPr>
      <w:r>
        <w:rPr>
          <w:rFonts w:ascii="微软雅黑" w:hAnsi="微软雅黑" w:eastAsia="微软雅黑"/>
          <w:color w:val="666666"/>
          <w:sz w:val="18"/>
        </w:rPr>
        <w:t>图4  第一步：选择主板标识</w:t>
      </w:r>
    </w:p>
    <w:p w14:paraId="0BFF470A">
      <w:r>
        <w:rPr>
          <w:rFonts w:ascii="微软雅黑" w:hAnsi="微软雅黑" w:eastAsia="微软雅黑"/>
          <w:b w:val="0"/>
          <w:sz w:val="22"/>
        </w:rPr>
        <w:t>完成后点击右下角「点此开始解析」，系统自动从数据源提取内容，完成后进入第二步。</w:t>
      </w:r>
    </w:p>
    <w:p w14:paraId="19F3BF0A">
      <w:pPr>
        <w:pStyle w:val="4"/>
      </w:pPr>
      <w:r>
        <w:rPr>
          <w:rFonts w:ascii="微软雅黑" w:hAnsi="微软雅黑" w:eastAsia="微软雅黑"/>
          <w:color w:val="1A1A1A"/>
        </w:rPr>
        <w:t>第二步：自动获取</w:t>
      </w:r>
    </w:p>
    <w:p w14:paraId="39735A68">
      <w:pPr>
        <w:pStyle w:val="16"/>
      </w:pPr>
      <w:r>
        <w:rPr>
          <w:rFonts w:ascii="微软雅黑" w:hAnsi="微软雅黑" w:eastAsia="微软雅黑"/>
          <w:sz w:val="22"/>
        </w:rPr>
        <w:t>中间表格展示自动获取的数据，获取不到的内容留空</w:t>
      </w:r>
    </w:p>
    <w:p w14:paraId="60A19489">
      <w:pPr>
        <w:pStyle w:val="16"/>
      </w:pPr>
      <w:r>
        <w:rPr>
          <w:rFonts w:ascii="微软雅黑" w:hAnsi="微软雅黑" w:eastAsia="微软雅黑"/>
          <w:sz w:val="22"/>
        </w:rPr>
        <w:t>不同数据源存在冲突时，左侧「冲突待确认」列表显示：哪个主板标识、几供存在冲突</w:t>
      </w:r>
    </w:p>
    <w:p w14:paraId="5124723F">
      <w:pPr>
        <w:pStyle w:val="16"/>
      </w:pPr>
      <w:r>
        <w:rPr>
          <w:rFonts w:ascii="微软雅黑" w:hAnsi="微软雅黑" w:eastAsia="微软雅黑"/>
          <w:sz w:val="22"/>
        </w:rPr>
        <w:t>列出冲突项内容及对应数据源，用户选择正确值后自动填入</w:t>
      </w:r>
    </w:p>
    <w:p w14:paraId="60EAAC0A">
      <w:pPr>
        <w:pStyle w:val="16"/>
      </w:pPr>
      <w:r>
        <w:rPr>
          <w:rFonts w:ascii="微软雅黑" w:hAnsi="微软雅黑" w:eastAsia="微软雅黑"/>
          <w:sz w:val="22"/>
        </w:rPr>
        <w:t>若一供有值、其他供为空，选择一供后自动填充到其他供</w:t>
      </w:r>
      <w:bookmarkStart w:id="0" w:name="_GoBack"/>
      <w:bookmarkEnd w:id="0"/>
    </w:p>
    <w:p w14:paraId="4085C253">
      <w:pPr>
        <w:pStyle w:val="16"/>
      </w:pPr>
      <w:r>
        <w:rPr>
          <w:rFonts w:ascii="微软雅黑" w:hAnsi="微软雅黑" w:eastAsia="微软雅黑"/>
          <w:sz w:val="22"/>
        </w:rPr>
        <w:t>所有冲突确认完毕后，方可点击「下一步」</w:t>
      </w:r>
    </w:p>
    <w:p w14:paraId="4CA5AC3C">
      <w:pPr>
        <w:jc w:val="center"/>
      </w:pPr>
      <w:r>
        <w:drawing>
          <wp:inline distT="0" distB="0" distL="114300" distR="114300">
            <wp:extent cx="5969000" cy="2943860"/>
            <wp:effectExtent l="0" t="0" r="0" b="254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11F47">
      <w:pPr>
        <w:jc w:val="center"/>
      </w:pPr>
      <w:r>
        <w:rPr>
          <w:rFonts w:ascii="微软雅黑" w:hAnsi="微软雅黑" w:eastAsia="微软雅黑"/>
          <w:color w:val="666666"/>
          <w:sz w:val="18"/>
        </w:rPr>
        <w:t>图5  第二步：查看自动获取内容与处理冲突</w:t>
      </w:r>
    </w:p>
    <w:p w14:paraId="3BAEAD6B">
      <w:pPr>
        <w:pStyle w:val="4"/>
      </w:pPr>
      <w:r>
        <w:rPr>
          <w:rFonts w:ascii="微软雅黑" w:hAnsi="微软雅黑" w:eastAsia="微软雅黑"/>
          <w:color w:val="1A1A1A"/>
        </w:rPr>
        <w:t>第三步：补充完善（手动输入）</w:t>
      </w:r>
    </w:p>
    <w:p w14:paraId="059E9617">
      <w:pPr>
        <w:pStyle w:val="16"/>
      </w:pPr>
      <w:r>
        <w:rPr>
          <w:rFonts w:ascii="微软雅黑" w:hAnsi="微软雅黑" w:eastAsia="微软雅黑"/>
          <w:sz w:val="22"/>
        </w:rPr>
        <w:t>左侧「待完善要素」提示需手动填写的项</w:t>
      </w:r>
    </w:p>
    <w:p w14:paraId="0B250998">
      <w:pPr>
        <w:pStyle w:val="16"/>
      </w:pPr>
      <w:r>
        <w:rPr>
          <w:rFonts w:ascii="微软雅黑" w:hAnsi="微软雅黑" w:eastAsia="微软雅黑"/>
          <w:sz w:val="22"/>
        </w:rPr>
        <w:t>默认以一供作为清单基准，可切换查看其他供</w:t>
      </w:r>
    </w:p>
    <w:p w14:paraId="5072FD94">
      <w:pPr>
        <w:pStyle w:val="16"/>
      </w:pPr>
      <w:r>
        <w:rPr>
          <w:rFonts w:ascii="微软雅黑" w:hAnsi="微软雅黑" w:eastAsia="微软雅黑"/>
          <w:sz w:val="22"/>
        </w:rPr>
        <w:t>在右侧表格中手动填写空白内容</w:t>
      </w:r>
    </w:p>
    <w:p w14:paraId="538C3654">
      <w:pPr>
        <w:pStyle w:val="16"/>
      </w:pPr>
      <w:r>
        <w:rPr>
          <w:rFonts w:ascii="微软雅黑" w:hAnsi="微软雅黑" w:eastAsia="微软雅黑"/>
          <w:sz w:val="22"/>
        </w:rPr>
        <w:t>填写完成后点击「下一步：规则引擎校验」</w:t>
      </w:r>
    </w:p>
    <w:p w14:paraId="55AF44F2">
      <w:pPr>
        <w:jc w:val="center"/>
      </w:pPr>
      <w:r>
        <w:drawing>
          <wp:inline distT="0" distB="0" distL="114300" distR="114300">
            <wp:extent cx="5928995" cy="3164840"/>
            <wp:effectExtent l="0" t="0" r="1460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B9D0">
      <w:pPr>
        <w:jc w:val="center"/>
      </w:pPr>
      <w:r>
        <w:rPr>
          <w:rFonts w:ascii="微软雅黑" w:hAnsi="微软雅黑" w:eastAsia="微软雅黑"/>
          <w:color w:val="666666"/>
          <w:sz w:val="18"/>
        </w:rPr>
        <w:t>图6  第三步：手动补充完善</w:t>
      </w:r>
    </w:p>
    <w:p w14:paraId="35D82ACA">
      <w:pPr>
        <w:pStyle w:val="4"/>
      </w:pPr>
      <w:r>
        <w:rPr>
          <w:rFonts w:ascii="微软雅黑" w:hAnsi="微软雅黑" w:eastAsia="微软雅黑"/>
          <w:color w:val="1A1A1A"/>
        </w:rPr>
        <w:t>第四步：计算与校验</w:t>
      </w:r>
    </w:p>
    <w:p w14:paraId="62C46EBE">
      <w:r>
        <w:rPr>
          <w:rFonts w:ascii="微软雅黑" w:hAnsi="微软雅黑" w:eastAsia="微软雅黑"/>
          <w:b w:val="0"/>
          <w:sz w:val="22"/>
        </w:rPr>
        <w:t>计算项：PCBA 数量、小板数量、组装数量、客户样机需求、天珑研发样机总计、总计</w:t>
      </w:r>
    </w:p>
    <w:p w14:paraId="45EB9164">
      <w:r>
        <w:rPr>
          <w:rFonts w:ascii="微软雅黑" w:hAnsi="微软雅黑" w:eastAsia="微软雅黑"/>
          <w:b w:val="0"/>
          <w:sz w:val="22"/>
        </w:rPr>
        <w:t>校验项：颜色、整机标识、存储（如 EMMC / DDR 匹配）</w:t>
      </w:r>
    </w:p>
    <w:p w14:paraId="11B5696B">
      <w:r>
        <w:rPr>
          <w:rFonts w:ascii="微软雅黑" w:hAnsi="微软雅黑" w:eastAsia="微软雅黑"/>
          <w:b w:val="0"/>
          <w:sz w:val="22"/>
        </w:rPr>
        <w:t>校验通过后，点击「下一步：导出预览」。</w:t>
      </w:r>
    </w:p>
    <w:p w14:paraId="70C30A08">
      <w:pPr>
        <w:jc w:val="center"/>
      </w:pPr>
      <w:r>
        <w:drawing>
          <wp:inline distT="0" distB="0" distL="114300" distR="114300">
            <wp:extent cx="5878830" cy="3132455"/>
            <wp:effectExtent l="0" t="0" r="381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883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6723">
      <w:pPr>
        <w:jc w:val="center"/>
      </w:pPr>
      <w:r>
        <w:rPr>
          <w:rFonts w:ascii="微软雅黑" w:hAnsi="微软雅黑" w:eastAsia="微软雅黑"/>
          <w:color w:val="666666"/>
          <w:sz w:val="18"/>
        </w:rPr>
        <w:t>图7  第四步：计算与校验</w:t>
      </w:r>
    </w:p>
    <w:p w14:paraId="66D9C9A6">
      <w:pPr>
        <w:pStyle w:val="4"/>
      </w:pPr>
      <w:r>
        <w:rPr>
          <w:rFonts w:ascii="微软雅黑" w:hAnsi="微软雅黑" w:eastAsia="微软雅黑"/>
          <w:color w:val="1A1A1A"/>
        </w:rPr>
        <w:t>第五步：导出预览</w:t>
      </w:r>
    </w:p>
    <w:p w14:paraId="46D6EFC3">
      <w:pPr>
        <w:pStyle w:val="16"/>
      </w:pPr>
      <w:r>
        <w:rPr>
          <w:rFonts w:ascii="微软雅黑" w:hAnsi="微软雅黑" w:eastAsia="微软雅黑"/>
          <w:sz w:val="22"/>
        </w:rPr>
        <w:t>预览全部数据，表格仍可继续编辑</w:t>
      </w:r>
    </w:p>
    <w:p w14:paraId="02F93B58">
      <w:pPr>
        <w:pStyle w:val="16"/>
      </w:pPr>
      <w:r>
        <w:rPr>
          <w:rFonts w:ascii="微软雅黑" w:hAnsi="微软雅黑" w:eastAsia="微软雅黑"/>
          <w:sz w:val="22"/>
        </w:rPr>
        <w:t>确认无误后，点击「完成并导出」，将 Excel 文件保存到本地</w:t>
      </w:r>
    </w:p>
    <w:p w14:paraId="22D0FB99">
      <w:pPr>
        <w:jc w:val="center"/>
      </w:pPr>
      <w:r>
        <w:drawing>
          <wp:inline distT="0" distB="0" distL="114300" distR="114300">
            <wp:extent cx="5963285" cy="2585720"/>
            <wp:effectExtent l="0" t="0" r="5715" b="508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3285" cy="25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5B943">
      <w:pPr>
        <w:jc w:val="center"/>
      </w:pPr>
      <w:r>
        <w:rPr>
          <w:rFonts w:ascii="微软雅黑" w:hAnsi="微软雅黑" w:eastAsia="微软雅黑"/>
          <w:color w:val="666666"/>
          <w:sz w:val="18"/>
        </w:rPr>
        <w:t>图8  第五步：预览并导出 Excel</w:t>
      </w:r>
    </w:p>
    <w:p w14:paraId="428C8DC7">
      <w:pPr>
        <w:pStyle w:val="3"/>
      </w:pPr>
      <w:r>
        <w:rPr>
          <w:rFonts w:ascii="微软雅黑" w:hAnsi="微软雅黑" w:eastAsia="微软雅黑"/>
          <w:color w:val="1A1A1A"/>
        </w:rPr>
        <w:t>三、通用功能</w:t>
      </w:r>
    </w:p>
    <w:p w14:paraId="0224E500">
      <w:pPr>
        <w:pStyle w:val="4"/>
      </w:pPr>
      <w:r>
        <w:rPr>
          <w:rFonts w:ascii="微软雅黑" w:hAnsi="微软雅黑" w:eastAsia="微软雅黑"/>
          <w:color w:val="1A1A1A"/>
        </w:rPr>
        <w:t>暂存与历史记录</w:t>
      </w:r>
    </w:p>
    <w:p w14:paraId="4D3E658B">
      <w:pPr>
        <w:pStyle w:val="16"/>
      </w:pPr>
      <w:r>
        <w:rPr>
          <w:rFonts w:ascii="微软雅黑" w:hAnsi="微软雅黑" w:eastAsia="微软雅黑"/>
          <w:sz w:val="22"/>
        </w:rPr>
        <w:t>暂存：每一步均可点击「暂存」保存当前进度</w:t>
      </w:r>
    </w:p>
    <w:p w14:paraId="360650CD">
      <w:pPr>
        <w:pStyle w:val="16"/>
      </w:pPr>
      <w:r>
        <w:rPr>
          <w:rFonts w:ascii="微软雅黑" w:hAnsi="微软雅黑" w:eastAsia="微软雅黑"/>
          <w:sz w:val="22"/>
        </w:rPr>
        <w:t>历史记录：右上角「历史记录」查看已保存项目</w:t>
      </w:r>
    </w:p>
    <w:p w14:paraId="7830FABE">
      <w:pPr>
        <w:pStyle w:val="16"/>
      </w:pPr>
      <w:r>
        <w:rPr>
          <w:rFonts w:ascii="微软雅黑" w:hAnsi="微软雅黑" w:eastAsia="微软雅黑"/>
          <w:sz w:val="22"/>
        </w:rPr>
        <w:t>加载此记录：还原到上次停留的步骤继续编辑</w:t>
      </w:r>
    </w:p>
    <w:p w14:paraId="685E9277">
      <w:pPr>
        <w:pStyle w:val="16"/>
      </w:pPr>
      <w:r>
        <w:rPr>
          <w:rFonts w:ascii="微软雅黑" w:hAnsi="微软雅黑" w:eastAsia="微软雅黑"/>
          <w:sz w:val="22"/>
        </w:rPr>
        <w:t>复制为新项目：基于历史记录创建新项目</w:t>
      </w:r>
    </w:p>
    <w:p w14:paraId="61434568">
      <w:pPr>
        <w:jc w:val="center"/>
      </w:pPr>
      <w:r>
        <w:drawing>
          <wp:inline distT="0" distB="0" distL="114300" distR="114300">
            <wp:extent cx="5940425" cy="3046730"/>
            <wp:effectExtent l="0" t="0" r="317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669A">
      <w:pPr>
        <w:jc w:val="center"/>
      </w:pPr>
      <w:r>
        <w:rPr>
          <w:rFonts w:ascii="微软雅黑" w:hAnsi="微软雅黑" w:eastAsia="微软雅黑"/>
          <w:color w:val="666666"/>
          <w:sz w:val="18"/>
        </w:rPr>
        <w:t>图9  历史记录管理</w:t>
      </w:r>
    </w:p>
    <w:p w14:paraId="7586FE1C">
      <w:pPr>
        <w:pStyle w:val="4"/>
      </w:pPr>
      <w:r>
        <w:rPr>
          <w:rFonts w:ascii="微软雅黑" w:hAnsi="微软雅黑" w:eastAsia="微软雅黑"/>
          <w:color w:val="1A1A1A"/>
        </w:rPr>
        <w:t>新建试产搭配表</w:t>
      </w:r>
    </w:p>
    <w:p w14:paraId="3D5644AB">
      <w:r>
        <w:rPr>
          <w:rFonts w:ascii="微软雅黑" w:hAnsi="微软雅黑" w:eastAsia="微软雅黑"/>
          <w:b w:val="0"/>
          <w:sz w:val="22"/>
        </w:rPr>
        <w:t>点击右上角「+ 新建试产阶段」，开始新的试产搭配表项目。</w:t>
      </w: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altName w:val="Hiragino Sans"/>
    <w:panose1 w:val="020B0400000000000000"/>
    <w:charset w:val="80"/>
    <w:family w:val="auto"/>
    <w:pitch w:val="default"/>
    <w:sig w:usb0="00000000" w:usb1="00000000" w:usb2="00000016" w:usb3="00000000" w:csb0="200200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2DB2FFD"/>
    <w:rsid w:val="6EFEF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316</Words>
  <Characters>332</Characters>
  <Lines>0</Lines>
  <Paragraphs>0</Paragraphs>
  <TotalTime>6</TotalTime>
  <ScaleCrop>false</ScaleCrop>
  <LinksUpToDate>false</LinksUpToDate>
  <CharactersWithSpaces>360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藤椒斋</cp:lastModifiedBy>
  <dcterms:modified xsi:type="dcterms:W3CDTF">2026-06-17T16:55:27Z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eyJoZGlkIjoiMmQyZTdlY2NkNTBlYjRkOTgwODdkZDc2ZmQzMjc0ODQiLCJ1c2VySWQiOiIxNDU3NDc3MTM1In0=</vt:lpwstr>
  </property>
  <property fmtid="{D5CDD505-2E9C-101B-9397-08002B2CF9AE}" pid="3" name="KSOProductBuildVer">
    <vt:lpwstr>2052-12.1.25895.25895</vt:lpwstr>
  </property>
  <property fmtid="{D5CDD505-2E9C-101B-9397-08002B2CF9AE}" pid="4" name="ICV">
    <vt:lpwstr>0731AFE673244242AFD77D6AF57B70C3_12</vt:lpwstr>
  </property>
</Properties>
</file>