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575DD">
      <w:pPr>
        <w:rPr>
          <w:rFonts w:hint="default"/>
          <w:lang w:val="en-US"/>
        </w:rPr>
      </w:pPr>
      <w:r>
        <w:rPr>
          <w:rFonts w:hint="default"/>
          <w:lang w:val="en-US"/>
        </w:rPr>
        <w:t>SQL QUERIES</w:t>
      </w:r>
    </w:p>
    <w:p w14:paraId="519B1196">
      <w:pPr>
        <w:rPr>
          <w:rFonts w:hint="default"/>
          <w:lang w:val="en-US"/>
        </w:rPr>
      </w:pPr>
    </w:p>
    <w:p w14:paraId="21CABFAD">
      <w:pPr>
        <w:rPr>
          <w:rFonts w:hint="default"/>
          <w:lang w:val="en-US"/>
        </w:rPr>
      </w:pPr>
    </w:p>
    <w:p w14:paraId="34A82106">
      <w:pPr>
        <w:numPr>
          <w:ilvl w:val="0"/>
          <w:numId w:val="1"/>
        </w:numPr>
        <w:rPr>
          <w:rFonts w:hint="default"/>
          <w:lang w:val="en-US"/>
        </w:rPr>
      </w:pPr>
      <w:r>
        <w:rPr>
          <w:rFonts w:hint="default"/>
          <w:lang w:val="en-US"/>
        </w:rPr>
        <w:t>Calculate line revenue for every order joined to customer, product and category.</w:t>
      </w:r>
    </w:p>
    <w:p w14:paraId="7845B9AA">
      <w:r>
        <w:drawing>
          <wp:inline distT="0" distB="0" distL="114300" distR="114300">
            <wp:extent cx="5272405" cy="265112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2405" cy="2651125"/>
                    </a:xfrm>
                    <a:prstGeom prst="rect">
                      <a:avLst/>
                    </a:prstGeom>
                    <a:noFill/>
                    <a:ln>
                      <a:noFill/>
                    </a:ln>
                  </pic:spPr>
                </pic:pic>
              </a:graphicData>
            </a:graphic>
          </wp:inline>
        </w:drawing>
      </w:r>
    </w:p>
    <w:p w14:paraId="51BEF64A"/>
    <w:p w14:paraId="7249DAB1">
      <w:pPr>
        <w:rPr>
          <w:rFonts w:hint="default"/>
          <w:lang w:val="en-US"/>
        </w:rPr>
      </w:pPr>
      <w:r>
        <w:rPr>
          <w:rFonts w:hint="default"/>
          <w:u w:val="single"/>
          <w:lang w:val="en-US"/>
        </w:rPr>
        <w:t>SUMMARY</w:t>
      </w:r>
    </w:p>
    <w:p w14:paraId="3B9044E3">
      <w:pPr>
        <w:rPr>
          <w:rFonts w:hint="default" w:eastAsia="SimSun" w:cs="SimSun" w:asciiTheme="majorAscii" w:hAnsiTheme="majorAscii"/>
          <w:sz w:val="18"/>
          <w:szCs w:val="18"/>
        </w:rPr>
      </w:pPr>
      <w:r>
        <w:rPr>
          <w:rFonts w:hint="default" w:eastAsia="SimSun" w:cs="SimSun" w:asciiTheme="majorAscii" w:hAnsiTheme="majorAscii"/>
          <w:sz w:val="18"/>
          <w:szCs w:val="18"/>
        </w:rPr>
        <w:t xml:space="preserve">This SQL query retrieves </w:t>
      </w:r>
      <w:r>
        <w:rPr>
          <w:rFonts w:hint="default" w:eastAsia="SimSun" w:cs="SimSun" w:asciiTheme="majorAscii" w:hAnsiTheme="majorAscii"/>
          <w:sz w:val="18"/>
          <w:szCs w:val="18"/>
          <w:lang w:val="en-US"/>
        </w:rPr>
        <w:t>transaction</w:t>
      </w:r>
      <w:r>
        <w:rPr>
          <w:rStyle w:val="5"/>
          <w:rFonts w:hint="default" w:eastAsia="Arial" w:cs="Arial" w:asciiTheme="majorAscii" w:hAnsiTheme="majorAscii"/>
          <w:b w:val="0"/>
          <w:bCs w:val="0"/>
          <w:sz w:val="18"/>
          <w:szCs w:val="18"/>
          <w:u w:val="none"/>
        </w:rPr>
        <w:t xml:space="preserve"> data for individual customer orders</w:t>
      </w:r>
      <w:r>
        <w:rPr>
          <w:rFonts w:hint="default" w:eastAsia="SimSun" w:cs="SimSun" w:asciiTheme="majorAscii" w:hAnsiTheme="majorAscii"/>
          <w:sz w:val="18"/>
          <w:szCs w:val="18"/>
        </w:rPr>
        <w:t xml:space="preserve"> by combining information from the </w:t>
      </w:r>
      <w:r>
        <w:rPr>
          <w:rStyle w:val="4"/>
          <w:rFonts w:hint="default" w:eastAsia="monospace" w:cs="monospace" w:asciiTheme="majorAscii" w:hAnsiTheme="majorAscii"/>
          <w:sz w:val="18"/>
          <w:szCs w:val="18"/>
          <w:u w:val="none"/>
        </w:rPr>
        <w:t>orders</w:t>
      </w:r>
      <w:r>
        <w:rPr>
          <w:rFonts w:hint="default" w:eastAsia="SimSun" w:cs="SimSun" w:asciiTheme="majorAscii" w:hAnsiTheme="majorAscii"/>
          <w:sz w:val="18"/>
          <w:szCs w:val="18"/>
        </w:rPr>
        <w:t xml:space="preserve">, </w:t>
      </w:r>
      <w:r>
        <w:rPr>
          <w:rStyle w:val="4"/>
          <w:rFonts w:hint="default" w:eastAsia="monospace" w:cs="monospace" w:asciiTheme="majorAscii" w:hAnsiTheme="majorAscii"/>
          <w:sz w:val="18"/>
          <w:szCs w:val="18"/>
          <w:u w:val="none"/>
        </w:rPr>
        <w:t>customers</w:t>
      </w:r>
      <w:r>
        <w:rPr>
          <w:rFonts w:hint="default" w:eastAsia="SimSun" w:cs="SimSun" w:asciiTheme="majorAscii" w:hAnsiTheme="majorAscii"/>
          <w:sz w:val="18"/>
          <w:szCs w:val="18"/>
        </w:rPr>
        <w:t xml:space="preserve">, and </w:t>
      </w:r>
      <w:r>
        <w:rPr>
          <w:rStyle w:val="4"/>
          <w:rFonts w:hint="default" w:eastAsia="monospace" w:cs="monospace" w:asciiTheme="majorAscii" w:hAnsiTheme="majorAscii"/>
          <w:sz w:val="18"/>
          <w:szCs w:val="18"/>
          <w:u w:val="none"/>
        </w:rPr>
        <w:t>products</w:t>
      </w:r>
      <w:r>
        <w:rPr>
          <w:rFonts w:hint="default" w:eastAsia="SimSun" w:cs="SimSun" w:asciiTheme="majorAscii" w:hAnsiTheme="majorAscii"/>
          <w:sz w:val="18"/>
          <w:szCs w:val="18"/>
        </w:rPr>
        <w:t xml:space="preserve"> tables within the </w:t>
      </w:r>
      <w:r>
        <w:rPr>
          <w:rFonts w:hint="default" w:eastAsia="SimSun" w:cs="SimSun" w:asciiTheme="majorAscii" w:hAnsiTheme="majorAscii"/>
          <w:sz w:val="18"/>
          <w:szCs w:val="18"/>
          <w:lang w:val="en-US"/>
        </w:rPr>
        <w:t>Kasi</w:t>
      </w:r>
      <w:r>
        <w:rPr>
          <w:rFonts w:hint="default" w:eastAsia="SimSun" w:cs="SimSun" w:asciiTheme="majorAscii" w:hAnsiTheme="majorAscii"/>
          <w:sz w:val="18"/>
          <w:szCs w:val="18"/>
        </w:rPr>
        <w:t xml:space="preserve"> Mart database. It extracts the order ID, customer name, product details (name and category), and order quantity, while dynamically calculating a new field called </w:t>
      </w:r>
      <w:r>
        <w:rPr>
          <w:rStyle w:val="4"/>
          <w:rFonts w:hint="default" w:eastAsia="monospace" w:cs="monospace" w:asciiTheme="majorAscii" w:hAnsiTheme="majorAscii"/>
          <w:b w:val="0"/>
          <w:bCs w:val="0"/>
          <w:i w:val="0"/>
          <w:iCs w:val="0"/>
          <w:sz w:val="18"/>
          <w:szCs w:val="18"/>
          <w:u w:val="none"/>
        </w:rPr>
        <w:t>line_revenue</w:t>
      </w:r>
      <w:r>
        <w:rPr>
          <w:rFonts w:hint="default" w:eastAsia="SimSun" w:cs="SimSun" w:asciiTheme="majorAscii" w:hAnsiTheme="majorAscii"/>
          <w:b w:val="0"/>
          <w:bCs w:val="0"/>
          <w:i w:val="0"/>
          <w:iCs w:val="0"/>
          <w:sz w:val="18"/>
          <w:szCs w:val="18"/>
        </w:rPr>
        <w:t xml:space="preserve"> </w:t>
      </w:r>
      <w:r>
        <w:rPr>
          <w:rFonts w:hint="default" w:eastAsia="SimSun" w:cs="SimSun" w:asciiTheme="majorAscii" w:hAnsiTheme="majorAscii"/>
          <w:sz w:val="18"/>
          <w:szCs w:val="18"/>
        </w:rPr>
        <w:t xml:space="preserve">(quantity multiplied by unit price) for each line item. </w:t>
      </w:r>
    </w:p>
    <w:p w14:paraId="22B8FD2F">
      <w:pPr>
        <w:rPr>
          <w:rFonts w:hint="default" w:eastAsia="SimSun" w:cs="SimSun" w:asciiTheme="majorAscii" w:hAnsiTheme="majorAscii"/>
          <w:sz w:val="18"/>
          <w:szCs w:val="18"/>
        </w:rPr>
      </w:pPr>
      <w:bookmarkStart w:id="0" w:name="_GoBack"/>
      <w:bookmarkEnd w:id="0"/>
    </w:p>
    <w:p w14:paraId="0C65EE18">
      <w:pPr>
        <w:rPr>
          <w:rFonts w:hint="default" w:asciiTheme="majorAscii" w:hAnsiTheme="majorAscii"/>
          <w:sz w:val="18"/>
          <w:szCs w:val="18"/>
          <w:lang w:val="en-US"/>
        </w:rPr>
      </w:pPr>
      <w:r>
        <w:rPr>
          <w:rFonts w:hint="default" w:eastAsia="SimSun" w:cs="SimSun" w:asciiTheme="majorAscii" w:hAnsiTheme="majorAscii"/>
          <w:sz w:val="18"/>
          <w:szCs w:val="18"/>
        </w:rPr>
        <w:t xml:space="preserve">This query is crucial for business operations and </w:t>
      </w:r>
      <w:r>
        <w:rPr>
          <w:rFonts w:hint="default" w:eastAsia="SimSun" w:cs="SimSun" w:asciiTheme="majorAscii" w:hAnsiTheme="majorAscii"/>
          <w:sz w:val="18"/>
          <w:szCs w:val="18"/>
          <w:lang w:val="en-US"/>
        </w:rPr>
        <w:t>analytic</w:t>
      </w:r>
      <w:r>
        <w:rPr>
          <w:rFonts w:hint="default" w:eastAsia="SimSun" w:cs="SimSun" w:asciiTheme="majorAscii" w:hAnsiTheme="majorAscii"/>
          <w:sz w:val="18"/>
          <w:szCs w:val="18"/>
        </w:rPr>
        <w:t xml:space="preserve"> because </w:t>
      </w:r>
      <w:r>
        <w:rPr>
          <w:rFonts w:hint="default" w:eastAsia="SimSun" w:cs="SimSun" w:asciiTheme="majorAscii" w:hAnsiTheme="majorAscii"/>
          <w:sz w:val="18"/>
          <w:szCs w:val="18"/>
          <w:lang w:val="en-US"/>
        </w:rPr>
        <w:t>b</w:t>
      </w:r>
      <w:r>
        <w:rPr>
          <w:rFonts w:hint="default" w:eastAsia="SimSun" w:cs="SimSun" w:asciiTheme="majorAscii" w:hAnsiTheme="majorAscii"/>
          <w:sz w:val="18"/>
          <w:szCs w:val="18"/>
        </w:rPr>
        <w:t>y calculating exact revenue per line item and organizing it sequentially by order ID, it enables the business to track purchasing patterns, identify high-value customers, evaluate top-performing product categories, and drive data-backed financial reporting.</w:t>
      </w:r>
    </w:p>
    <w:p w14:paraId="3DB71B03"/>
    <w:p w14:paraId="1AC6EC4B">
      <w:pPr>
        <w:numPr>
          <w:ilvl w:val="0"/>
          <w:numId w:val="1"/>
        </w:numPr>
        <w:ind w:left="0" w:leftChars="0" w:firstLine="0" w:firstLineChars="0"/>
        <w:rPr>
          <w:rFonts w:hint="default"/>
          <w:lang w:val="en-US"/>
        </w:rPr>
      </w:pPr>
      <w:r>
        <w:rPr>
          <w:rFonts w:hint="default"/>
          <w:lang w:val="en-US"/>
        </w:rPr>
        <w:t>Total revenue per customer query.</w:t>
      </w:r>
    </w:p>
    <w:p w14:paraId="120EEB52">
      <w:r>
        <w:drawing>
          <wp:inline distT="0" distB="0" distL="114300" distR="114300">
            <wp:extent cx="5262880" cy="1875155"/>
            <wp:effectExtent l="0" t="0" r="1016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2880" cy="1875155"/>
                    </a:xfrm>
                    <a:prstGeom prst="rect">
                      <a:avLst/>
                    </a:prstGeom>
                    <a:noFill/>
                    <a:ln>
                      <a:noFill/>
                    </a:ln>
                  </pic:spPr>
                </pic:pic>
              </a:graphicData>
            </a:graphic>
          </wp:inline>
        </w:drawing>
      </w:r>
    </w:p>
    <w:p w14:paraId="165628B9"/>
    <w:p w14:paraId="7D24B34E">
      <w:pPr>
        <w:rPr>
          <w:rFonts w:hint="default"/>
          <w:lang w:val="en-US"/>
        </w:rPr>
      </w:pPr>
      <w:r>
        <w:rPr>
          <w:rFonts w:hint="default"/>
          <w:u w:val="single"/>
          <w:lang w:val="en-US"/>
        </w:rPr>
        <w:t>SUMMARY</w:t>
      </w:r>
    </w:p>
    <w:p w14:paraId="57AD6DB8">
      <w:pPr>
        <w:keepNext w:val="0"/>
        <w:keepLines w:val="0"/>
        <w:widowControl/>
        <w:suppressLineNumbers w:val="0"/>
        <w:pBdr>
          <w:bottom w:val="none" w:color="0A0A0A" w:sz="0" w:space="0"/>
        </w:pBdr>
        <w:spacing w:before="0" w:beforeAutospacing="0" w:after="192" w:afterAutospacing="0"/>
        <w:ind w:left="0" w:right="0"/>
        <w:jc w:val="left"/>
        <w:rPr>
          <w:rFonts w:hint="default" w:ascii="Calibri Light" w:hAnsi="Calibri Light" w:eastAsia="Arial" w:cs="Calibri Light"/>
          <w:kern w:val="0"/>
          <w:sz w:val="18"/>
          <w:szCs w:val="18"/>
          <w:u w:val="none"/>
          <w:lang w:val="en-US" w:eastAsia="zh-CN" w:bidi="ar"/>
        </w:rPr>
      </w:pPr>
      <w:r>
        <w:rPr>
          <w:rFonts w:hint="default" w:ascii="Calibri Light" w:hAnsi="Calibri Light" w:eastAsia="Arial" w:cs="Calibri Light"/>
          <w:kern w:val="0"/>
          <w:sz w:val="18"/>
          <w:szCs w:val="18"/>
          <w:u w:val="none"/>
          <w:lang w:val="en-US" w:eastAsia="zh-CN" w:bidi="ar"/>
        </w:rPr>
        <w:t xml:space="preserve">This SQL query calculates the </w:t>
      </w:r>
      <w:r>
        <w:rPr>
          <w:rStyle w:val="5"/>
          <w:rFonts w:hint="default" w:ascii="Calibri Light" w:hAnsi="Calibri Light" w:eastAsia="Arial" w:cs="Calibri Light"/>
          <w:b w:val="0"/>
          <w:bCs w:val="0"/>
          <w:kern w:val="0"/>
          <w:sz w:val="18"/>
          <w:szCs w:val="18"/>
          <w:u w:val="none"/>
          <w:lang w:val="en-US" w:eastAsia="zh-CN" w:bidi="ar"/>
        </w:rPr>
        <w:t>total revenue generated by each customer</w:t>
      </w:r>
      <w:r>
        <w:rPr>
          <w:rFonts w:hint="default" w:ascii="Calibri Light" w:hAnsi="Calibri Light" w:eastAsia="Arial" w:cs="Calibri Light"/>
          <w:kern w:val="0"/>
          <w:sz w:val="18"/>
          <w:szCs w:val="18"/>
          <w:u w:val="none"/>
          <w:lang w:val="en-US" w:eastAsia="zh-CN" w:bidi="ar"/>
        </w:rPr>
        <w:t xml:space="preserve"> by multiplying the quantity of items ordered by their respective unit prices and grouping the results by customer ID. Understanding this metric is critical because it highlights the organization’s most financially valuable clients. </w:t>
      </w:r>
    </w:p>
    <w:p w14:paraId="4525B8C4">
      <w:pPr>
        <w:keepNext w:val="0"/>
        <w:keepLines w:val="0"/>
        <w:widowControl/>
        <w:suppressLineNumbers w:val="0"/>
        <w:pBdr>
          <w:bottom w:val="none" w:color="0A0A0A" w:sz="0" w:space="0"/>
        </w:pBdr>
        <w:spacing w:before="0" w:beforeAutospacing="0" w:after="192" w:afterAutospacing="0"/>
        <w:ind w:left="0" w:right="0"/>
        <w:jc w:val="left"/>
        <w:rPr>
          <w:rFonts w:hint="default" w:ascii="Calibri Light" w:hAnsi="Calibri Light" w:eastAsia="Arial" w:cs="Calibri Light"/>
          <w:sz w:val="18"/>
          <w:szCs w:val="18"/>
          <w:u w:val="none"/>
        </w:rPr>
      </w:pPr>
      <w:r>
        <w:rPr>
          <w:rFonts w:hint="default" w:ascii="Calibri Light" w:hAnsi="Calibri Light" w:eastAsia="Arial" w:cs="Calibri Light"/>
          <w:kern w:val="0"/>
          <w:sz w:val="18"/>
          <w:szCs w:val="18"/>
          <w:u w:val="none"/>
          <w:lang w:val="en-US" w:eastAsia="zh-CN" w:bidi="ar"/>
        </w:rPr>
        <w:t>By sorting the data by revenue, the business can easily pinpoint its lowest and highest-spending segments, allowing marketing and sales teams to design targeted retention strategies, optimize loyalty programs, and allocate resources efficiently to maximize profitability.</w:t>
      </w:r>
    </w:p>
    <w:p w14:paraId="106924D9">
      <w:pPr>
        <w:rPr>
          <w:rFonts w:hint="default"/>
          <w:lang w:val="en-US"/>
        </w:rPr>
      </w:pPr>
    </w:p>
    <w:p w14:paraId="2B823AFE">
      <w:pPr>
        <w:rPr>
          <w:rFonts w:hint="default"/>
          <w:lang w:val="en-US"/>
        </w:rPr>
      </w:pPr>
    </w:p>
    <w:p w14:paraId="0DF8E474">
      <w:pPr>
        <w:rPr>
          <w:rFonts w:hint="default"/>
          <w:lang w:val="en-US"/>
        </w:rPr>
      </w:pPr>
    </w:p>
    <w:p w14:paraId="5812E96A">
      <w:pPr>
        <w:rPr>
          <w:rFonts w:hint="default"/>
          <w:lang w:val="en-US"/>
        </w:rPr>
      </w:pPr>
    </w:p>
    <w:p w14:paraId="3738284D">
      <w:pPr>
        <w:numPr>
          <w:ilvl w:val="0"/>
          <w:numId w:val="1"/>
        </w:numPr>
        <w:ind w:left="0" w:leftChars="0" w:firstLine="0" w:firstLineChars="0"/>
        <w:rPr>
          <w:rFonts w:hint="default"/>
          <w:lang w:val="en-US"/>
        </w:rPr>
      </w:pPr>
      <w:r>
        <w:rPr>
          <w:rFonts w:hint="default"/>
          <w:lang w:val="en-US"/>
        </w:rPr>
        <w:t>Total revenue per category.</w:t>
      </w:r>
    </w:p>
    <w:p w14:paraId="371CC17D">
      <w:r>
        <w:drawing>
          <wp:inline distT="0" distB="0" distL="114300" distR="114300">
            <wp:extent cx="5262245" cy="1701165"/>
            <wp:effectExtent l="0" t="0" r="1079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2245" cy="1701165"/>
                    </a:xfrm>
                    <a:prstGeom prst="rect">
                      <a:avLst/>
                    </a:prstGeom>
                    <a:noFill/>
                    <a:ln>
                      <a:noFill/>
                    </a:ln>
                  </pic:spPr>
                </pic:pic>
              </a:graphicData>
            </a:graphic>
          </wp:inline>
        </w:drawing>
      </w:r>
    </w:p>
    <w:p w14:paraId="700B4231"/>
    <w:p w14:paraId="7D85DE12">
      <w:pPr>
        <w:rPr>
          <w:rFonts w:hint="default"/>
          <w:lang w:val="en-US"/>
        </w:rPr>
      </w:pPr>
      <w:r>
        <w:rPr>
          <w:rFonts w:hint="default"/>
          <w:u w:val="single"/>
          <w:lang w:val="en-US"/>
        </w:rPr>
        <w:t>SUMMARY</w:t>
      </w:r>
    </w:p>
    <w:p w14:paraId="13C569D8">
      <w:pPr>
        <w:keepNext w:val="0"/>
        <w:keepLines w:val="0"/>
        <w:widowControl/>
        <w:suppressLineNumbers w:val="0"/>
        <w:pBdr>
          <w:bottom w:val="none" w:color="0A0A0A" w:sz="0" w:space="0"/>
        </w:pBdr>
        <w:spacing w:before="0" w:beforeAutospacing="0" w:after="192" w:afterAutospacing="0"/>
        <w:ind w:left="0" w:right="0"/>
        <w:jc w:val="left"/>
        <w:rPr>
          <w:rFonts w:hint="default" w:ascii="Calibri Light" w:hAnsi="Calibri Light" w:eastAsia="Arial" w:cs="Calibri Light"/>
          <w:sz w:val="18"/>
          <w:szCs w:val="18"/>
          <w:u w:val="none"/>
        </w:rPr>
      </w:pPr>
      <w:r>
        <w:rPr>
          <w:rFonts w:hint="default" w:ascii="Calibri Light" w:hAnsi="Calibri Light" w:eastAsia="Arial" w:cs="Calibri Light"/>
          <w:kern w:val="0"/>
          <w:sz w:val="18"/>
          <w:szCs w:val="18"/>
          <w:u w:val="none"/>
          <w:lang w:val="en-US" w:eastAsia="zh-CN" w:bidi="ar"/>
        </w:rPr>
        <w:t xml:space="preserve">This SQL query calculates and displays the </w:t>
      </w:r>
      <w:r>
        <w:rPr>
          <w:rStyle w:val="5"/>
          <w:rFonts w:hint="default" w:ascii="Calibri Light" w:hAnsi="Calibri Light" w:eastAsia="Arial" w:cs="Calibri Light"/>
          <w:b w:val="0"/>
          <w:bCs w:val="0"/>
          <w:kern w:val="0"/>
          <w:sz w:val="18"/>
          <w:szCs w:val="18"/>
          <w:u w:val="none"/>
          <w:lang w:val="en-US" w:eastAsia="zh-CN" w:bidi="ar"/>
        </w:rPr>
        <w:t>total revenue generated by each product category</w:t>
      </w:r>
      <w:r>
        <w:rPr>
          <w:rFonts w:hint="default" w:ascii="Calibri Light" w:hAnsi="Calibri Light" w:eastAsia="Arial" w:cs="Calibri Light"/>
          <w:kern w:val="0"/>
          <w:sz w:val="18"/>
          <w:szCs w:val="18"/>
          <w:u w:val="none"/>
          <w:lang w:val="en-US" w:eastAsia="zh-CN" w:bidi="ar"/>
        </w:rPr>
        <w:t xml:space="preserve">. By joining the </w:t>
      </w:r>
      <w:r>
        <w:rPr>
          <w:rStyle w:val="4"/>
          <w:rFonts w:hint="default" w:ascii="Calibri Light" w:hAnsi="Calibri Light" w:eastAsia="monospace" w:cs="Calibri Light"/>
          <w:kern w:val="0"/>
          <w:sz w:val="18"/>
          <w:szCs w:val="18"/>
          <w:u w:val="none"/>
          <w:lang w:val="en-US" w:eastAsia="zh-CN" w:bidi="ar"/>
        </w:rPr>
        <w:t>orders</w:t>
      </w:r>
      <w:r>
        <w:rPr>
          <w:rFonts w:hint="default" w:ascii="Calibri Light" w:hAnsi="Calibri Light" w:eastAsia="Arial" w:cs="Calibri Light"/>
          <w:kern w:val="0"/>
          <w:sz w:val="18"/>
          <w:szCs w:val="18"/>
          <w:u w:val="none"/>
          <w:lang w:val="en-US" w:eastAsia="zh-CN" w:bidi="ar"/>
        </w:rPr>
        <w:t xml:space="preserve"> and </w:t>
      </w:r>
      <w:r>
        <w:rPr>
          <w:rStyle w:val="4"/>
          <w:rFonts w:hint="default" w:ascii="Calibri Light" w:hAnsi="Calibri Light" w:eastAsia="monospace" w:cs="Calibri Light"/>
          <w:kern w:val="0"/>
          <w:sz w:val="18"/>
          <w:szCs w:val="18"/>
          <w:u w:val="none"/>
          <w:lang w:val="en-US" w:eastAsia="zh-CN" w:bidi="ar"/>
        </w:rPr>
        <w:t>products</w:t>
      </w:r>
      <w:r>
        <w:rPr>
          <w:rFonts w:hint="default" w:ascii="Calibri Light" w:hAnsi="Calibri Light" w:eastAsia="Arial" w:cs="Calibri Light"/>
          <w:kern w:val="0"/>
          <w:sz w:val="18"/>
          <w:szCs w:val="18"/>
          <w:u w:val="none"/>
          <w:lang w:val="en-US" w:eastAsia="zh-CN" w:bidi="ar"/>
        </w:rPr>
        <w:t xml:space="preserve"> tables on the shared </w:t>
      </w:r>
      <w:r>
        <w:rPr>
          <w:rStyle w:val="4"/>
          <w:rFonts w:hint="default" w:ascii="Calibri Light" w:hAnsi="Calibri Light" w:eastAsia="monospace" w:cs="Calibri Light"/>
          <w:kern w:val="0"/>
          <w:sz w:val="18"/>
          <w:szCs w:val="18"/>
          <w:u w:val="none"/>
          <w:lang w:val="en-US" w:eastAsia="zh-CN" w:bidi="ar"/>
        </w:rPr>
        <w:t>product_id</w:t>
      </w:r>
      <w:r>
        <w:rPr>
          <w:rFonts w:hint="default" w:ascii="Calibri Light" w:hAnsi="Calibri Light" w:eastAsia="Arial" w:cs="Calibri Light"/>
          <w:kern w:val="0"/>
          <w:sz w:val="18"/>
          <w:szCs w:val="18"/>
          <w:u w:val="none"/>
          <w:lang w:val="en-US" w:eastAsia="zh-CN" w:bidi="ar"/>
        </w:rPr>
        <w:t xml:space="preserve">, the query multiplies the quantity of items ordered by their respective unit prices, grouping the final sums by product </w:t>
      </w:r>
      <w:r>
        <w:rPr>
          <w:rStyle w:val="4"/>
          <w:rFonts w:hint="default" w:ascii="Calibri Light" w:hAnsi="Calibri Light" w:eastAsia="monospace" w:cs="Calibri Light"/>
          <w:kern w:val="0"/>
          <w:sz w:val="18"/>
          <w:szCs w:val="18"/>
          <w:u w:val="none"/>
          <w:lang w:val="en-US" w:eastAsia="zh-CN" w:bidi="ar"/>
        </w:rPr>
        <w:t>category</w:t>
      </w:r>
      <w:r>
        <w:rPr>
          <w:rFonts w:hint="default" w:ascii="Calibri Light" w:hAnsi="Calibri Light" w:eastAsia="Arial" w:cs="Calibri Light"/>
          <w:kern w:val="0"/>
          <w:sz w:val="18"/>
          <w:szCs w:val="18"/>
          <w:u w:val="none"/>
          <w:lang w:val="en-US" w:eastAsia="zh-CN" w:bidi="ar"/>
        </w:rPr>
        <w:t>.</w:t>
      </w:r>
    </w:p>
    <w:p w14:paraId="21CEAB7E">
      <w:pPr>
        <w:keepNext w:val="0"/>
        <w:keepLines w:val="0"/>
        <w:widowControl/>
        <w:suppressLineNumbers w:val="0"/>
        <w:pBdr>
          <w:bottom w:val="none" w:color="0A0A0A" w:sz="0" w:space="0"/>
        </w:pBdr>
        <w:spacing w:before="144" w:beforeAutospacing="0" w:after="192" w:afterAutospacing="0"/>
        <w:ind w:left="0" w:right="0"/>
        <w:jc w:val="left"/>
        <w:rPr>
          <w:rFonts w:hint="default" w:ascii="Calibri Light" w:hAnsi="Calibri Light" w:eastAsia="Arial" w:cs="Calibri Light"/>
          <w:sz w:val="18"/>
          <w:szCs w:val="18"/>
          <w:u w:val="none"/>
        </w:rPr>
      </w:pPr>
      <w:r>
        <w:rPr>
          <w:rFonts w:hint="default" w:ascii="Calibri Light" w:hAnsi="Calibri Light" w:eastAsia="Arial" w:cs="Calibri Light"/>
          <w:kern w:val="0"/>
          <w:sz w:val="18"/>
          <w:szCs w:val="18"/>
          <w:u w:val="none"/>
          <w:lang w:val="en-US" w:eastAsia="zh-CN" w:bidi="ar"/>
        </w:rPr>
        <w:t xml:space="preserve">This information is critical for </w:t>
      </w:r>
      <w:r>
        <w:rPr>
          <w:rStyle w:val="5"/>
          <w:rFonts w:hint="default" w:ascii="Calibri Light" w:hAnsi="Calibri Light" w:eastAsia="Arial" w:cs="Calibri Light"/>
          <w:b w:val="0"/>
          <w:bCs w:val="0"/>
          <w:kern w:val="0"/>
          <w:sz w:val="18"/>
          <w:szCs w:val="18"/>
          <w:u w:val="none"/>
          <w:lang w:val="en-US" w:eastAsia="zh-CN" w:bidi="ar"/>
        </w:rPr>
        <w:t>business intelligence and financial health assessment</w:t>
      </w:r>
      <w:r>
        <w:rPr>
          <w:rFonts w:hint="default" w:ascii="Calibri Light" w:hAnsi="Calibri Light" w:eastAsia="Arial" w:cs="Calibri Light"/>
          <w:kern w:val="0"/>
          <w:sz w:val="18"/>
          <w:szCs w:val="18"/>
          <w:u w:val="none"/>
          <w:lang w:val="en-US" w:eastAsia="zh-CN" w:bidi="ar"/>
        </w:rPr>
        <w:t>. It helps stakeholders identify top-performing product segments, pinpoint under-performing categories that may require strategic marketing or inventory adjustments, and make data-driven decisions regarding stock allocation and overall business growth.</w:t>
      </w:r>
    </w:p>
    <w:p w14:paraId="313C7EDA"/>
    <w:p w14:paraId="78DC5560">
      <w:pPr>
        <w:numPr>
          <w:ilvl w:val="0"/>
          <w:numId w:val="1"/>
        </w:numPr>
        <w:ind w:left="0" w:leftChars="0" w:firstLine="0" w:firstLineChars="0"/>
        <w:rPr>
          <w:rFonts w:hint="default"/>
          <w:lang w:val="en-US"/>
        </w:rPr>
      </w:pPr>
      <w:r>
        <w:rPr>
          <w:rFonts w:hint="default"/>
          <w:lang w:val="en-US"/>
        </w:rPr>
        <w:t>Top 5 customers by customer-spend.</w:t>
      </w:r>
    </w:p>
    <w:p w14:paraId="3B542AA4">
      <w:pPr>
        <w:rPr>
          <w:rFonts w:hint="default"/>
          <w:lang w:val="en-US"/>
        </w:rPr>
      </w:pPr>
      <w:r>
        <w:drawing>
          <wp:inline distT="0" distB="0" distL="114300" distR="114300">
            <wp:extent cx="5266690" cy="260032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6690" cy="2600325"/>
                    </a:xfrm>
                    <a:prstGeom prst="rect">
                      <a:avLst/>
                    </a:prstGeom>
                    <a:noFill/>
                    <a:ln>
                      <a:noFill/>
                    </a:ln>
                  </pic:spPr>
                </pic:pic>
              </a:graphicData>
            </a:graphic>
          </wp:inline>
        </w:drawing>
      </w:r>
      <w:r>
        <w:rPr>
          <w:rFonts w:hint="default"/>
          <w:lang w:val="en-US"/>
        </w:rPr>
        <w:t xml:space="preserve"> </w:t>
      </w:r>
    </w:p>
    <w:p w14:paraId="0F29A894">
      <w:pPr>
        <w:rPr>
          <w:rFonts w:hint="default"/>
          <w:lang w:val="en-US"/>
        </w:rPr>
      </w:pPr>
    </w:p>
    <w:p w14:paraId="1C20D7E9">
      <w:pPr>
        <w:rPr>
          <w:rFonts w:hint="default"/>
          <w:lang w:val="en-US"/>
        </w:rPr>
      </w:pPr>
      <w:r>
        <w:rPr>
          <w:rFonts w:hint="default"/>
          <w:u w:val="single"/>
          <w:lang w:val="en-US"/>
        </w:rPr>
        <w:t>SUMMARY</w:t>
      </w:r>
    </w:p>
    <w:p w14:paraId="01D61A58">
      <w:pPr>
        <w:keepNext w:val="0"/>
        <w:keepLines w:val="0"/>
        <w:widowControl/>
        <w:suppressLineNumbers w:val="0"/>
        <w:pBdr>
          <w:bottom w:val="none" w:color="0A0A0A" w:sz="0" w:space="0"/>
        </w:pBdr>
        <w:spacing w:before="0" w:beforeAutospacing="0" w:after="192" w:afterAutospacing="0"/>
        <w:ind w:left="0" w:right="0"/>
        <w:jc w:val="left"/>
        <w:rPr>
          <w:rFonts w:hint="default" w:eastAsia="Arial" w:cs="Arial" w:asciiTheme="majorAscii" w:hAnsiTheme="majorAscii"/>
          <w:b w:val="0"/>
          <w:bCs w:val="0"/>
          <w:sz w:val="18"/>
          <w:szCs w:val="18"/>
          <w:u w:val="none"/>
        </w:rPr>
      </w:pPr>
      <w:r>
        <w:rPr>
          <w:rFonts w:hint="default" w:eastAsia="Arial" w:cs="Arial" w:asciiTheme="majorAscii" w:hAnsiTheme="majorAscii"/>
          <w:b w:val="0"/>
          <w:bCs w:val="0"/>
          <w:kern w:val="0"/>
          <w:sz w:val="18"/>
          <w:szCs w:val="18"/>
          <w:u w:val="none"/>
          <w:lang w:val="en-US" w:eastAsia="zh-CN" w:bidi="ar"/>
        </w:rPr>
        <w:t xml:space="preserve">This query retrieves the </w:t>
      </w:r>
      <w:r>
        <w:rPr>
          <w:rStyle w:val="5"/>
          <w:rFonts w:hint="default" w:eastAsia="Arial" w:cs="Arial" w:asciiTheme="majorAscii" w:hAnsiTheme="majorAscii"/>
          <w:b w:val="0"/>
          <w:bCs w:val="0"/>
          <w:kern w:val="0"/>
          <w:sz w:val="18"/>
          <w:szCs w:val="18"/>
          <w:u w:val="none"/>
          <w:lang w:val="en-US" w:eastAsia="zh-CN" w:bidi="ar"/>
        </w:rPr>
        <w:t>top 5 highest-spending customers</w:t>
      </w:r>
      <w:r>
        <w:rPr>
          <w:rFonts w:hint="default" w:eastAsia="Arial" w:cs="Arial" w:asciiTheme="majorAscii" w:hAnsiTheme="majorAscii"/>
          <w:b w:val="0"/>
          <w:bCs w:val="0"/>
          <w:kern w:val="0"/>
          <w:sz w:val="18"/>
          <w:szCs w:val="18"/>
          <w:u w:val="none"/>
          <w:lang w:val="en-US" w:eastAsia="zh-CN" w:bidi="ar"/>
        </w:rPr>
        <w:t xml:space="preserve"> at Kasi Mart by calculating their lifetime or total expenditure. By joining the </w:t>
      </w:r>
      <w:r>
        <w:rPr>
          <w:rStyle w:val="4"/>
          <w:rFonts w:hint="default" w:eastAsia="monospace" w:cs="monospace" w:asciiTheme="majorAscii" w:hAnsiTheme="majorAscii"/>
          <w:b w:val="0"/>
          <w:bCs w:val="0"/>
          <w:kern w:val="0"/>
          <w:sz w:val="18"/>
          <w:szCs w:val="18"/>
          <w:u w:val="none"/>
          <w:lang w:val="en-US" w:eastAsia="zh-CN" w:bidi="ar"/>
        </w:rPr>
        <w:t>customers</w:t>
      </w:r>
      <w:r>
        <w:rPr>
          <w:rFonts w:hint="default" w:eastAsia="Arial" w:cs="Arial" w:asciiTheme="majorAscii" w:hAnsiTheme="majorAscii"/>
          <w:b w:val="0"/>
          <w:bCs w:val="0"/>
          <w:kern w:val="0"/>
          <w:sz w:val="18"/>
          <w:szCs w:val="18"/>
          <w:u w:val="none"/>
          <w:lang w:val="en-US" w:eastAsia="zh-CN" w:bidi="ar"/>
        </w:rPr>
        <w:t xml:space="preserve">, </w:t>
      </w:r>
      <w:r>
        <w:rPr>
          <w:rStyle w:val="4"/>
          <w:rFonts w:hint="default" w:eastAsia="monospace" w:cs="monospace" w:asciiTheme="majorAscii" w:hAnsiTheme="majorAscii"/>
          <w:b w:val="0"/>
          <w:bCs w:val="0"/>
          <w:kern w:val="0"/>
          <w:sz w:val="18"/>
          <w:szCs w:val="18"/>
          <w:u w:val="none"/>
          <w:lang w:val="en-US" w:eastAsia="zh-CN" w:bidi="ar"/>
        </w:rPr>
        <w:t>orders</w:t>
      </w:r>
      <w:r>
        <w:rPr>
          <w:rFonts w:hint="default" w:eastAsia="Arial" w:cs="Arial" w:asciiTheme="majorAscii" w:hAnsiTheme="majorAscii"/>
          <w:b w:val="0"/>
          <w:bCs w:val="0"/>
          <w:kern w:val="0"/>
          <w:sz w:val="18"/>
          <w:szCs w:val="18"/>
          <w:u w:val="none"/>
          <w:lang w:val="en-US" w:eastAsia="zh-CN" w:bidi="ar"/>
        </w:rPr>
        <w:t xml:space="preserve">, and </w:t>
      </w:r>
      <w:r>
        <w:rPr>
          <w:rStyle w:val="4"/>
          <w:rFonts w:hint="default" w:eastAsia="monospace" w:cs="monospace" w:asciiTheme="majorAscii" w:hAnsiTheme="majorAscii"/>
          <w:b w:val="0"/>
          <w:bCs w:val="0"/>
          <w:kern w:val="0"/>
          <w:sz w:val="18"/>
          <w:szCs w:val="18"/>
          <w:u w:val="none"/>
          <w:lang w:val="en-US" w:eastAsia="zh-CN" w:bidi="ar"/>
        </w:rPr>
        <w:t>products</w:t>
      </w:r>
      <w:r>
        <w:rPr>
          <w:rFonts w:hint="default" w:eastAsia="Arial" w:cs="Arial" w:asciiTheme="majorAscii" w:hAnsiTheme="majorAscii"/>
          <w:b w:val="0"/>
          <w:bCs w:val="0"/>
          <w:kern w:val="0"/>
          <w:sz w:val="18"/>
          <w:szCs w:val="18"/>
          <w:u w:val="none"/>
          <w:lang w:val="en-US" w:eastAsia="zh-CN" w:bidi="ar"/>
        </w:rPr>
        <w:t xml:space="preserve"> tables, it multiplies the quantity of items ordered by their respective unit prices to find the </w:t>
      </w:r>
      <w:r>
        <w:rPr>
          <w:rStyle w:val="4"/>
          <w:rFonts w:hint="default" w:eastAsia="monospace" w:cs="monospace" w:asciiTheme="majorAscii" w:hAnsiTheme="majorAscii"/>
          <w:b w:val="0"/>
          <w:bCs w:val="0"/>
          <w:kern w:val="0"/>
          <w:sz w:val="18"/>
          <w:szCs w:val="18"/>
          <w:u w:val="none"/>
          <w:lang w:val="en-US" w:eastAsia="zh-CN" w:bidi="ar"/>
        </w:rPr>
        <w:t>total_spend</w:t>
      </w:r>
      <w:r>
        <w:rPr>
          <w:rFonts w:hint="default" w:eastAsia="Arial" w:cs="Arial" w:asciiTheme="majorAscii" w:hAnsiTheme="majorAscii"/>
          <w:b w:val="0"/>
          <w:bCs w:val="0"/>
          <w:kern w:val="0"/>
          <w:sz w:val="18"/>
          <w:szCs w:val="18"/>
          <w:u w:val="none"/>
          <w:lang w:val="en-US" w:eastAsia="zh-CN" w:bidi="ar"/>
        </w:rPr>
        <w:t xml:space="preserve"> per individual, sorted from highest to lowest. This data is critical for business intelligence because it identifies the store's </w:t>
      </w:r>
      <w:r>
        <w:rPr>
          <w:rStyle w:val="5"/>
          <w:rFonts w:hint="default" w:eastAsia="Arial" w:cs="Arial" w:asciiTheme="majorAscii" w:hAnsiTheme="majorAscii"/>
          <w:b w:val="0"/>
          <w:bCs w:val="0"/>
          <w:kern w:val="0"/>
          <w:sz w:val="18"/>
          <w:szCs w:val="18"/>
          <w:u w:val="none"/>
          <w:lang w:val="en-US" w:eastAsia="zh-CN" w:bidi="ar"/>
        </w:rPr>
        <w:t>most valuable customers (VIPs)</w:t>
      </w:r>
      <w:r>
        <w:rPr>
          <w:rFonts w:hint="default" w:eastAsia="Arial" w:cs="Arial" w:asciiTheme="majorAscii" w:hAnsiTheme="majorAscii"/>
          <w:b w:val="0"/>
          <w:bCs w:val="0"/>
          <w:kern w:val="0"/>
          <w:sz w:val="18"/>
          <w:szCs w:val="18"/>
          <w:u w:val="none"/>
          <w:lang w:val="en-US" w:eastAsia="zh-CN" w:bidi="ar"/>
        </w:rPr>
        <w:t>. Businesses use these insights to drive targeted loyalty programs, design exclusive marketing campaigns, and implement retention strategies to protect their highest revenue-generating relationships.</w:t>
      </w:r>
    </w:p>
    <w:p w14:paraId="1CB2606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CF51E"/>
    <w:multiLevelType w:val="singleLevel"/>
    <w:tmpl w:val="352CF51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E010A"/>
    <w:rsid w:val="037D629C"/>
    <w:rsid w:val="377E0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28</Words>
  <Characters>161</Characters>
  <Lines>0</Lines>
  <Paragraphs>0</Paragraphs>
  <TotalTime>33</TotalTime>
  <ScaleCrop>false</ScaleCrop>
  <LinksUpToDate>false</LinksUpToDate>
  <CharactersWithSpaces>184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2026-09-15T07:56:00Z</dcterms:created>
  <dc:creator>User</dc:creator>
  <cp:lastModifiedBy>User</cp:lastModifiedBy>
  <dcterms:modified xsi:type="dcterms:W3CDTF">2026-09-15T08:35:57Z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87130FD735094747931F539B1F383EC6_11</vt:lpwstr>
  </property>
  <property fmtid="{D5CDD505-2E9C-101B-9397-08002B2CF9AE}" pid="4" name="KSOTemplateDocerSaveRecord">
    <vt:lpwstr>eyJoZGlkIjoiMTM4NDQxZDQzNDdmMTljYjFjYjc3N2E3MzM4NGFjNmEifQ==</vt:lpwstr>
  </property>
</Properties>
</file>