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B3A6B"/>
          <w:sz w:val="64"/>
          <w:szCs w:val="64"/>
        </w:rPr>
        <w:t xml:space="preserve">POLYMATHICS AI</w:t>
      </w:r>
    </w:p>
    <w:p>
      <w:pPr>
        <w:spacing w:after="80"/>
      </w:pPr>
      <w:r>
        <w:rPr>
          <w:rFonts w:ascii="Arial" w:cs="Arial" w:eastAsia="Arial" w:hAnsi="Arial"/>
          <w:color w:val="2563A8"/>
          <w:sz w:val="40"/>
          <w:szCs w:val="40"/>
        </w:rPr>
        <w:t xml:space="preserve">High-Ticket Client Pursuit Plan</w:t>
      </w:r>
    </w:p>
    <w:p>
      <w:pPr>
        <w:spacing w:after="40"/>
      </w:pPr>
      <w:r>
        <w:rPr>
          <w:rFonts w:ascii="Arial" w:cs="Arial" w:eastAsia="Arial" w:hAnsi="Arial"/>
          <w:b/>
          <w:bCs/>
          <w:color w:val="D4A017"/>
          <w:sz w:val="28"/>
          <w:szCs w:val="28"/>
        </w:rPr>
        <w:t xml:space="preserve">Healthcare  •  Law Firms  •  Construction &amp; Contracting</w:t>
      </w:r>
    </w:p>
    <w:p>
      <w:pPr>
        <w:pBdr>
          <w:bottom w:val="single" w:color="2563A8" w:sz="6" w:space="1"/>
        </w:pBdr>
        <w:spacing w:after="160" w:before="160"/>
      </w:pPr>
    </w:p>
    <w:p>
      <w:pPr>
        <w:spacing w:after="120"/>
      </w:pPr>
      <w:r>
        <w:rPr>
          <w:rFonts w:ascii="Arial" w:cs="Arial" w:eastAsia="Arial" w:hAnsi="Arial"/>
          <w:color w:val="1A1A1A"/>
          <w:sz w:val="22"/>
          <w:szCs w:val="22"/>
        </w:rPr>
        <w:t xml:space="preserve">This document outlines the strategy, targeting criteria, outreach sequences, and conversion playbook for acquiring high-value clients in the three primary verticals for the Polymathics AI receptionist service. Use this alongside the Pitch Scripts document.</w:t>
      </w:r>
    </w:p>
    <w:p>
      <w:r>
        <w:br w:type="page"/>
      </w:r>
    </w:p>
    <w:p>
      <w:pPr>
        <w:pStyle w:val="Heading1"/>
        <w:spacing w:after="160" w:before="320"/>
      </w:pPr>
      <w:r>
        <w:rPr>
          <w:rFonts w:ascii="Arial" w:cs="Arial" w:eastAsia="Arial" w:hAnsi="Arial"/>
          <w:b/>
          <w:bCs/>
          <w:color w:val="1B3A6B"/>
          <w:sz w:val="36"/>
          <w:szCs w:val="36"/>
        </w:rPr>
        <w:t xml:space="preserve">Business Model &amp; Revenue Overview</w:t>
      </w:r>
    </w:p>
    <w:p>
      <w:pPr>
        <w:spacing w:after="120"/>
      </w:pPr>
      <w:r>
        <w:rPr>
          <w:rFonts w:ascii="Arial" w:cs="Arial" w:eastAsia="Arial" w:hAnsi="Arial"/>
          <w:color w:val="1A1A1A"/>
          <w:sz w:val="22"/>
          <w:szCs w:val="22"/>
        </w:rPr>
        <w:t xml:space="preserve">Polymathics AI offers a B2B AI Receptionist service targeting small and mid-size businesses in high-call-volume industries. The service is sold as a monthly retainer, with an upgrade path to full automation workflow packages.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4"/>
                <w:szCs w:val="24"/>
              </w:rPr>
              <w:t xml:space="preserve">Tier 1 — AI Receptionist</w:t>
            </w:r>
          </w:p>
        </w:tc>
        <w:tc>
          <w:tcPr>
            <w:tcW w:type="dxa" w:w="4680"/>
            <w:tcBorders>
              <w:top w:val="single" w:color="CCCCCC" w:sz="1"/>
              <w:left w:val="single" w:color="CCCCCC" w:sz="1"/>
              <w:bottom w:val="single" w:color="CCCCCC" w:sz="1"/>
              <w:right w:val="single" w:color="CCCCCC" w:sz="1"/>
            </w:tcBorders>
            <w:shd w:fill="2563A8" w:val="clear"/>
            <w:tcMar>
              <w:top w:type="dxa" w:w="80"/>
              <w:left w:type="dxa" w:w="160"/>
              <w:bottom w:type="dxa" w:w="80"/>
              <w:right w:type="dxa" w:w="160"/>
            </w:tcMar>
          </w:tcPr>
          <w:p>
            <w:r>
              <w:rPr>
                <w:rFonts w:ascii="Arial" w:cs="Arial" w:eastAsia="Arial" w:hAnsi="Arial"/>
                <w:b/>
                <w:bCs/>
                <w:color w:val="FFFFFF"/>
                <w:sz w:val="24"/>
                <w:szCs w:val="24"/>
              </w:rPr>
              <w:t xml:space="preserve">Tier 2 — AI Receptionist + Automations</w:t>
            </w:r>
          </w:p>
        </w:tc>
      </w:tr>
      <w:tr>
        <w:tc>
          <w:tcPr>
            <w:tcW w:type="dxa" w:w="468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pPr>
              <w:spacing w:after="60"/>
            </w:pPr>
            <w:r>
              <w:rPr>
                <w:rFonts w:ascii="Arial" w:cs="Arial" w:eastAsia="Arial" w:hAnsi="Arial"/>
                <w:b/>
                <w:bCs/>
                <w:color w:val="1B3A6B"/>
                <w:sz w:val="28"/>
                <w:szCs w:val="28"/>
              </w:rPr>
              <w:t xml:space="preserve">$500 / month</w:t>
            </w:r>
          </w:p>
          <w:p>
            <w:pPr>
              <w:spacing w:after="60"/>
            </w:pPr>
            <w:r>
              <w:rPr>
                <w:rFonts w:ascii="Arial" w:cs="Arial" w:eastAsia="Arial" w:hAnsi="Arial"/>
                <w:color w:val="1A1A1A"/>
                <w:sz w:val="20"/>
                <w:szCs w:val="20"/>
              </w:rPr>
              <w:t xml:space="preserve">Inbound &amp; outbound call handling</w:t>
            </w:r>
          </w:p>
          <w:p>
            <w:pPr>
              <w:spacing w:after="60"/>
            </w:pPr>
            <w:r>
              <w:rPr>
                <w:rFonts w:ascii="Arial" w:cs="Arial" w:eastAsia="Arial" w:hAnsi="Arial"/>
                <w:color w:val="1A1A1A"/>
                <w:sz w:val="20"/>
                <w:szCs w:val="20"/>
              </w:rPr>
              <w:t xml:space="preserve">Customer service request management</w:t>
            </w:r>
          </w:p>
          <w:p>
            <w:pPr>
              <w:spacing w:after="60"/>
            </w:pPr>
            <w:r>
              <w:rPr>
                <w:rFonts w:ascii="Arial" w:cs="Arial" w:eastAsia="Arial" w:hAnsi="Arial"/>
                <w:color w:val="1A1A1A"/>
                <w:sz w:val="20"/>
                <w:szCs w:val="20"/>
              </w:rPr>
              <w:t xml:space="preserve">24/7 availability, custom voice &amp; FAQs</w:t>
            </w:r>
          </w:p>
          <w:p>
            <w:pPr>
              <w:spacing w:after="60"/>
            </w:pPr>
            <w:r>
              <w:rPr>
                <w:rFonts w:ascii="Arial" w:cs="Arial" w:eastAsia="Arial" w:hAnsi="Arial"/>
                <w:color w:val="1A1A1A"/>
                <w:sz w:val="20"/>
                <w:szCs w:val="20"/>
              </w:rPr>
              <w:t xml:space="preserve">Appointment scheduling</w:t>
            </w:r>
          </w:p>
        </w:tc>
        <w:tc>
          <w:tcPr>
            <w:tcW w:type="dxa" w:w="468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pPr>
              <w:spacing w:after="60"/>
            </w:pPr>
            <w:r>
              <w:rPr>
                <w:rFonts w:ascii="Arial" w:cs="Arial" w:eastAsia="Arial" w:hAnsi="Arial"/>
                <w:b/>
                <w:bCs/>
                <w:color w:val="1B3A6B"/>
                <w:sz w:val="28"/>
                <w:szCs w:val="28"/>
              </w:rPr>
              <w:t xml:space="preserve">$1,000 / month</w:t>
            </w:r>
          </w:p>
          <w:p>
            <w:pPr>
              <w:spacing w:after="60"/>
            </w:pPr>
            <w:r>
              <w:rPr>
                <w:rFonts w:ascii="Arial" w:cs="Arial" w:eastAsia="Arial" w:hAnsi="Arial"/>
                <w:i/>
                <w:iCs/>
                <w:color w:val="1A1A1A"/>
                <w:sz w:val="20"/>
                <w:szCs w:val="20"/>
              </w:rPr>
              <w:t xml:space="preserve">Everything in Tier 1, plus:</w:t>
            </w:r>
          </w:p>
          <w:p>
            <w:pPr>
              <w:spacing w:after="60"/>
            </w:pPr>
            <w:r>
              <w:rPr>
                <w:rFonts w:ascii="Arial" w:cs="Arial" w:eastAsia="Arial" w:hAnsi="Arial"/>
                <w:color w:val="1A1A1A"/>
                <w:sz w:val="20"/>
                <w:szCs w:val="20"/>
              </w:rPr>
              <w:t xml:space="preserve">Custom automation workflows</w:t>
            </w:r>
          </w:p>
          <w:p>
            <w:pPr>
              <w:spacing w:after="60"/>
            </w:pPr>
            <w:r>
              <w:rPr>
                <w:rFonts w:ascii="Arial" w:cs="Arial" w:eastAsia="Arial" w:hAnsi="Arial"/>
                <w:color w:val="1A1A1A"/>
                <w:sz w:val="20"/>
                <w:szCs w:val="20"/>
              </w:rPr>
              <w:t xml:space="preserve">CRM integrations &amp; form routing</w:t>
            </w:r>
          </w:p>
          <w:p>
            <w:pPr>
              <w:spacing w:after="60"/>
            </w:pPr>
            <w:r>
              <w:rPr>
                <w:rFonts w:ascii="Arial" w:cs="Arial" w:eastAsia="Arial" w:hAnsi="Arial"/>
                <w:color w:val="1A1A1A"/>
                <w:sz w:val="20"/>
                <w:szCs w:val="20"/>
              </w:rPr>
              <w:t xml:space="preserve">Review &amp; reputation automation</w:t>
            </w:r>
          </w:p>
          <w:p>
            <w:pPr>
              <w:spacing w:after="60"/>
            </w:pPr>
            <w:r>
              <w:rPr>
                <w:rFonts w:ascii="Arial" w:cs="Arial" w:eastAsia="Arial" w:hAnsi="Arial"/>
                <w:color w:val="1A1A1A"/>
                <w:sz w:val="20"/>
                <w:szCs w:val="20"/>
              </w:rPr>
              <w:t xml:space="preserve">Additional add-ons priced by complexity</w:t>
            </w:r>
          </w:p>
        </w:tc>
      </w:tr>
    </w:tbl>
    <w:p>
      <w:pPr>
        <w:spacing w:after="200"/>
      </w:pPr>
    </w:p>
    <w:p>
      <w:pPr>
        <w:pStyle w:val="Heading2"/>
        <w:spacing w:after="120" w:before="240"/>
      </w:pPr>
      <w:r>
        <w:rPr>
          <w:rFonts w:ascii="Arial" w:cs="Arial" w:eastAsia="Arial" w:hAnsi="Arial"/>
          <w:b/>
          <w:bCs/>
          <w:color w:val="2563A8"/>
          <w:sz w:val="28"/>
          <w:szCs w:val="28"/>
        </w:rPr>
        <w:t xml:space="preserve">Revenue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Milestone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Clients at $500/mo</w:t>
            </w:r>
          </w:p>
        </w:tc>
        <w:tc>
          <w:tcPr>
            <w:tcW w:type="dxa" w:w="312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Clients at $1,000/mo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Break-Even / Start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4 clients = $2,000/mo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 clients = $2,000/mo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Part-Time Replacement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10 clients = $5,000/mo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5 clients = $5,000/mo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6-Figure Annual Run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17 clients = $8,500/mo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9 clients = $9,000/mo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Full Agency Scale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30 clients = $15,000/mo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15 clients = $15,000/mo</w:t>
            </w:r>
          </w:p>
        </w:tc>
      </w:tr>
    </w:tbl>
    <w:p>
      <w:r>
        <w:br w:type="page"/>
      </w:r>
    </w:p>
    <w:p>
      <w:pPr>
        <w:pStyle w:val="Heading1"/>
        <w:spacing w:after="160" w:before="320"/>
      </w:pPr>
      <w:r>
        <w:rPr>
          <w:rFonts w:ascii="Arial" w:cs="Arial" w:eastAsia="Arial" w:hAnsi="Arial"/>
          <w:b/>
          <w:bCs/>
          <w:color w:val="1B3A6B"/>
          <w:sz w:val="36"/>
          <w:szCs w:val="36"/>
        </w:rPr>
        <w:t xml:space="preserve">Vertical Deep Dives</w:t>
      </w:r>
    </w:p>
    <w:p>
      <w:pPr>
        <w:pStyle w:val="Heading2"/>
        <w:spacing w:after="120" w:before="240"/>
      </w:pPr>
      <w:r>
        <w:rPr>
          <w:rFonts w:ascii="Arial" w:cs="Arial" w:eastAsia="Arial" w:hAnsi="Arial"/>
          <w:b/>
          <w:bCs/>
          <w:color w:val="2563A8"/>
          <w:sz w:val="28"/>
          <w:szCs w:val="28"/>
        </w:rPr>
        <w:t xml:space="preserve">1. Healthcare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40"/>
              <w:bottom w:type="dxa" w:w="160"/>
              <w:right w:type="dxa" w:w="240"/>
            </w:tcMar>
          </w:tcPr>
          <w:p>
            <w:pPr>
              <w:spacing w:after="60"/>
            </w:pPr>
            <w:r>
              <w:rPr>
                <w:rFonts w:ascii="Arial" w:cs="Arial" w:eastAsia="Arial" w:hAnsi="Arial"/>
                <w:b/>
                <w:bCs/>
                <w:color w:val="1B3A6B"/>
                <w:sz w:val="22"/>
                <w:szCs w:val="22"/>
              </w:rPr>
              <w:t xml:space="preserve">Why Healthcare is Tier-1 Priority</w:t>
            </w:r>
          </w:p>
          <w:p>
            <w:pPr>
              <w:spacing w:after="60"/>
            </w:pPr>
            <w:r>
              <w:rPr>
                <w:rFonts w:ascii="Arial" w:cs="Arial" w:eastAsia="Arial" w:hAnsi="Arial"/>
                <w:color w:val="1A1A1A"/>
                <w:sz w:val="20"/>
                <w:szCs w:val="20"/>
              </w:rPr>
              <w:t xml:space="preserve">Healthcare practices are among the highest call-volume businesses in any local market. The average medical or dental office receives 50–200+ calls per week. Front desks are chronically understaffed. After-hours calls are almost entirely unaddressed. The barrier to entry for technology is dropping as HIPAA-compliant AI matures. The retention rate is high — once integrated into their workflow, they will not churn.</w:t>
            </w:r>
          </w:p>
        </w:tc>
      </w:tr>
    </w:tbl>
    <w:p>
      <w:pPr>
        <w:spacing w:after="160"/>
      </w:pPr>
    </w:p>
    <w:p>
      <w:pPr>
        <w:spacing w:after="80" w:before="200"/>
      </w:pPr>
      <w:r>
        <w:rPr>
          <w:rFonts w:ascii="Arial" w:cs="Arial" w:eastAsia="Arial" w:hAnsi="Arial"/>
          <w:b/>
          <w:bCs/>
          <w:color w:val="D4A017"/>
          <w:sz w:val="24"/>
          <w:szCs w:val="24"/>
        </w:rPr>
        <w:t xml:space="preserve">Ideal Target Profile — Healthcare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Best Sub-Verticals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Dental practices, chiropractic offices, physical therapy centers, dermatology clinics, urgent care, specialty practices (orthopedics, pediatrics, OB/GYN)</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Sweet Spot Size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1–3 practitioner offices, solo practices, group practices without a dedicated call center</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Pain Signals to Look For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Generic voicemail, Google listing shows “Often busy,” poor Google review rating, minimal online presence, no chat widget on website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Decision Maker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Office manager (day-to-day gatekeeper) or practice owner/physician. Target office manager first — they feel the pain most acutely.</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Upsell Path</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Appointment reminder sequences, no-show reduction automation, post-visit review requests, patient recall campaigns (annual checkups, cleanings)</w:t>
            </w:r>
          </w:p>
        </w:tc>
      </w:tr>
    </w:tbl>
    <w:p>
      <w:pPr>
        <w:spacing w:after="200"/>
      </w:pPr>
    </w:p>
    <w:p>
      <w:pPr>
        <w:spacing w:after="80" w:before="200"/>
      </w:pPr>
      <w:r>
        <w:rPr>
          <w:rFonts w:ascii="Arial" w:cs="Arial" w:eastAsia="Arial" w:hAnsi="Arial"/>
          <w:b/>
          <w:bCs/>
          <w:color w:val="D4A017"/>
          <w:sz w:val="24"/>
          <w:szCs w:val="24"/>
        </w:rPr>
        <w:t xml:space="preserve">Healthcare Outreach Strategy</w:t>
      </w:r>
    </w:p>
    <w:p>
      <w:pPr>
        <w:spacing w:after="120"/>
      </w:pPr>
      <w:r>
        <w:rPr>
          <w:rFonts w:ascii="Arial" w:cs="Arial" w:eastAsia="Arial" w:hAnsi="Arial"/>
          <w:color w:val="1A1A1A"/>
          <w:sz w:val="22"/>
          <w:szCs w:val="22"/>
        </w:rPr>
        <w:t xml:space="preserve">Phase 1 — List Building: Use Google Maps to identify dental and chiro offices within a 20-mile radius with fewer than 4.5 stars OR those flagged as “Often busy.” Cross-reference with their websites to check for online booking or chat widgets — absence of either is a strong buying signal.</w:t>
      </w:r>
    </w:p>
    <w:p>
      <w:pPr>
        <w:spacing w:after="120"/>
      </w:pPr>
      <w:r>
        <w:rPr>
          <w:rFonts w:ascii="Arial" w:cs="Arial" w:eastAsia="Arial" w:hAnsi="Arial"/>
          <w:color w:val="1A1A1A"/>
          <w:sz w:val="22"/>
          <w:szCs w:val="22"/>
        </w:rPr>
        <w:t xml:space="preserve">Phase 2 — Initial Contact: Cold call the office directly. Ask for the office manager by name if possible (check LinkedIn or the website staff page). Use the Healthcare pitch script from the Pitch Scripts playbook. If no answer, leave a brief voicemail and follow up with a text the same day.</w:t>
      </w:r>
    </w:p>
    <w:p>
      <w:pPr>
        <w:spacing w:after="120"/>
      </w:pPr>
      <w:r>
        <w:rPr>
          <w:rFonts w:ascii="Arial" w:cs="Arial" w:eastAsia="Arial" w:hAnsi="Arial"/>
          <w:color w:val="1A1A1A"/>
          <w:sz w:val="22"/>
          <w:szCs w:val="22"/>
        </w:rPr>
        <w:t xml:space="preserve">Phase 3 — Demo: Run a customized 20-minute demo using the practice’s name, specialty, and top FAQs. Show the AI scheduling an appointment on a live call simulation.</w:t>
      </w:r>
    </w:p>
    <w:p>
      <w:pPr>
        <w:spacing w:after="120"/>
      </w:pPr>
      <w:r>
        <w:rPr>
          <w:rFonts w:ascii="Arial" w:cs="Arial" w:eastAsia="Arial" w:hAnsi="Arial"/>
          <w:color w:val="1A1A1A"/>
          <w:sz w:val="22"/>
          <w:szCs w:val="22"/>
        </w:rPr>
        <w:t xml:space="preserve">Phase 4 — Proposal: Send the one-page proposal within 2 hours of the demo. Offer a 30-day pilot to reduce friction on the close.</w:t>
      </w:r>
    </w:p>
    <w:p>
      <w:r>
        <w:br w:type="page"/>
      </w:r>
    </w:p>
    <w:p>
      <w:pPr>
        <w:pStyle w:val="Heading2"/>
        <w:spacing w:after="120" w:before="240"/>
      </w:pPr>
      <w:r>
        <w:rPr>
          <w:rFonts w:ascii="Arial" w:cs="Arial" w:eastAsia="Arial" w:hAnsi="Arial"/>
          <w:b/>
          <w:bCs/>
          <w:color w:val="2563A8"/>
          <w:sz w:val="28"/>
          <w:szCs w:val="28"/>
        </w:rPr>
        <w:t xml:space="preserve">2. Law 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40"/>
              <w:bottom w:type="dxa" w:w="160"/>
              <w:right w:type="dxa" w:w="240"/>
            </w:tcMar>
          </w:tcPr>
          <w:p>
            <w:pPr>
              <w:spacing w:after="60"/>
            </w:pPr>
            <w:r>
              <w:rPr>
                <w:rFonts w:ascii="Arial" w:cs="Arial" w:eastAsia="Arial" w:hAnsi="Arial"/>
                <w:b/>
                <w:bCs/>
                <w:color w:val="1B3A6B"/>
                <w:sz w:val="22"/>
                <w:szCs w:val="22"/>
              </w:rPr>
              <w:t xml:space="preserve">Why Law Firms Are the Highest-ROI Vertical</w:t>
            </w:r>
          </w:p>
          <w:p>
            <w:pPr>
              <w:spacing w:after="60"/>
            </w:pPr>
            <w:r>
              <w:rPr>
                <w:rFonts w:ascii="Arial" w:cs="Arial" w:eastAsia="Arial" w:hAnsi="Arial"/>
                <w:color w:val="1A1A1A"/>
                <w:sz w:val="20"/>
                <w:szCs w:val="20"/>
              </w:rPr>
              <w:t xml:space="preserve">Law firms have the highest cost-per-missed-call of any small business. A single signed personal injury case can generate $10,000–$50,000 in attorney fees. A family law retainer starts at $3,000–5,000. Every missed call is a direct revenue loss. Boutique firms (2–10 attorneys) are especially vulnerable because they lack full-time intake staff but handle high-value inquiries around the clock.</w:t>
            </w:r>
          </w:p>
        </w:tc>
      </w:tr>
    </w:tbl>
    <w:p>
      <w:pPr>
        <w:spacing w:after="160"/>
      </w:pPr>
    </w:p>
    <w:p>
      <w:pPr>
        <w:spacing w:after="80" w:before="200"/>
      </w:pPr>
      <w:r>
        <w:rPr>
          <w:rFonts w:ascii="Arial" w:cs="Arial" w:eastAsia="Arial" w:hAnsi="Arial"/>
          <w:b/>
          <w:bCs/>
          <w:color w:val="D4A017"/>
          <w:sz w:val="24"/>
          <w:szCs w:val="24"/>
        </w:rPr>
        <w:t xml:space="preserve">Ideal Target Profile — Law 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Best Sub-Verticals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Personal injury, family law, criminal defense, immigration, workers’ comp, estate planning. PI and family law have the highest urgency and call volume.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Sweet Spot Size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Solo attorneys to 10-attorney boutique firms. Avoid large firms with dedicated intake departments. Target firms spending on Google Ads (they’re buying leads — they can’t afford to miss them).</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Pain Signals to Look For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Google Ads running (budget for leads), basic voicemail or answering service, Google reviews mentioning slow response, “I couldn’t get through” in reviews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Decision Maker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Managing partner or firm administrator. Solo attorneys make decisions themselves. Frame ROI in terms of cases captured, not cost saved.</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Upsell Path</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Intake form delivery and routing, consultation scheduling automation, lead nurture follow-up sequences, referral source tracking</w:t>
            </w:r>
          </w:p>
        </w:tc>
      </w:tr>
    </w:tbl>
    <w:p>
      <w:pPr>
        <w:spacing w:after="200"/>
      </w:pPr>
    </w:p>
    <w:p>
      <w:pPr>
        <w:spacing w:after="80" w:before="200"/>
      </w:pPr>
      <w:r>
        <w:rPr>
          <w:rFonts w:ascii="Arial" w:cs="Arial" w:eastAsia="Arial" w:hAnsi="Arial"/>
          <w:b/>
          <w:bCs/>
          <w:color w:val="D4A017"/>
          <w:sz w:val="24"/>
          <w:szCs w:val="24"/>
        </w:rPr>
        <w:t xml:space="preserve">Law Firm Outreach Strategy</w:t>
      </w:r>
    </w:p>
    <w:p>
      <w:pPr>
        <w:spacing w:after="120"/>
      </w:pPr>
      <w:r>
        <w:rPr>
          <w:rFonts w:ascii="Arial" w:cs="Arial" w:eastAsia="Arial" w:hAnsi="Arial"/>
          <w:color w:val="1A1A1A"/>
          <w:sz w:val="22"/>
          <w:szCs w:val="22"/>
        </w:rPr>
        <w:t xml:space="preserve">Phase 1 — List Building: Search Google for “personal injury attorney [city],” “family law firm [city],” etc. Look for firms running Google Ads (they appear above organic results with the “Sponsored” tag). These firms are already spending money to acquire leads — they cannot afford to miss a single call. Check reviews for complaints about responsiveness.</w:t>
      </w:r>
    </w:p>
    <w:p>
      <w:pPr>
        <w:spacing w:after="120"/>
      </w:pPr>
      <w:r>
        <w:rPr>
          <w:rFonts w:ascii="Arial" w:cs="Arial" w:eastAsia="Arial" w:hAnsi="Arial"/>
          <w:color w:val="1A1A1A"/>
          <w:sz w:val="22"/>
          <w:szCs w:val="22"/>
        </w:rPr>
        <w:t xml:space="preserve">Phase 2 — Initial Contact: Call and ask for the office manager or managing partner by name. Reference the fact that they’re advertising (“I noticed you’re running Google Ads — that’s exactly why I’m calling”). Use the Law Firm pitch script.</w:t>
      </w:r>
    </w:p>
    <w:p>
      <w:pPr>
        <w:spacing w:after="120"/>
      </w:pPr>
      <w:r>
        <w:rPr>
          <w:rFonts w:ascii="Arial" w:cs="Arial" w:eastAsia="Arial" w:hAnsi="Arial"/>
          <w:color w:val="1A1A1A"/>
          <w:sz w:val="22"/>
          <w:szCs w:val="22"/>
        </w:rPr>
        <w:t xml:space="preserve">Phase 3 — Demo: Simulate a live incoming call for a personal injury prospect. Show how the AI captures case details, qualifies urgency, and schedules a consultation — all without attorney involvement.</w:t>
      </w:r>
    </w:p>
    <w:p>
      <w:pPr>
        <w:spacing w:after="120"/>
      </w:pPr>
      <w:r>
        <w:rPr>
          <w:rFonts w:ascii="Arial" w:cs="Arial" w:eastAsia="Arial" w:hAnsi="Arial"/>
          <w:color w:val="1A1A1A"/>
          <w:sz w:val="22"/>
          <w:szCs w:val="22"/>
        </w:rPr>
        <w:t xml:space="preserve">Phase 4 — Proposal: Law firm decision-makers respond to ROI framing. In the proposal, calculate the “break-even” point: “One signed case covers 12+ months of this service.”</w:t>
      </w:r>
    </w:p>
    <w:p>
      <w:r>
        <w:br w:type="page"/>
      </w:r>
    </w:p>
    <w:p>
      <w:pPr>
        <w:pStyle w:val="Heading2"/>
        <w:spacing w:after="120" w:before="240"/>
      </w:pPr>
      <w:r>
        <w:rPr>
          <w:rFonts w:ascii="Arial" w:cs="Arial" w:eastAsia="Arial" w:hAnsi="Arial"/>
          <w:b/>
          <w:bCs/>
          <w:color w:val="2563A8"/>
          <w:sz w:val="28"/>
          <w:szCs w:val="28"/>
        </w:rPr>
        <w:t xml:space="preserve">3. Construction &amp; Contracting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40"/>
              <w:bottom w:type="dxa" w:w="160"/>
              <w:right w:type="dxa" w:w="240"/>
            </w:tcMar>
          </w:tcPr>
          <w:p>
            <w:pPr>
              <w:spacing w:after="60"/>
            </w:pPr>
            <w:r>
              <w:rPr>
                <w:rFonts w:ascii="Arial" w:cs="Arial" w:eastAsia="Arial" w:hAnsi="Arial"/>
                <w:b/>
                <w:bCs/>
                <w:color w:val="1B3A6B"/>
                <w:sz w:val="22"/>
                <w:szCs w:val="22"/>
              </w:rPr>
              <w:t xml:space="preserve">Why Construction is High-Volume and Low-Competition for AI Services</w:t>
            </w:r>
          </w:p>
          <w:p>
            <w:pPr>
              <w:spacing w:after="60"/>
            </w:pPr>
            <w:r>
              <w:rPr>
                <w:rFonts w:ascii="Arial" w:cs="Arial" w:eastAsia="Arial" w:hAnsi="Arial"/>
                <w:color w:val="1A1A1A"/>
                <w:sz w:val="20"/>
                <w:szCs w:val="20"/>
              </w:rPr>
              <w:t xml:space="preserve">Contractors are the least served by technology in any small business category. Owners and crews are on job sites all day. Administrative functions are minimal. Voicemail and missed calls are epidemic. The average roofing job is worth $8,000–25,000. HVAC installs run $3,000–15,000. One captured job per month more than pays for the service. This vertical also has a natural upsell to bid automation and proposal follow-up — services Polymathics AI has already delivered (Terzo Roofing).</w:t>
            </w:r>
          </w:p>
        </w:tc>
      </w:tr>
    </w:tbl>
    <w:p>
      <w:pPr>
        <w:spacing w:after="160"/>
      </w:pPr>
    </w:p>
    <w:p>
      <w:pPr>
        <w:spacing w:after="80" w:before="200"/>
      </w:pPr>
      <w:r>
        <w:rPr>
          <w:rFonts w:ascii="Arial" w:cs="Arial" w:eastAsia="Arial" w:hAnsi="Arial"/>
          <w:b/>
          <w:bCs/>
          <w:color w:val="D4A017"/>
          <w:sz w:val="24"/>
          <w:szCs w:val="24"/>
        </w:rPr>
        <w:t xml:space="preserve">Ideal Target Profile — Construction &amp; Contracting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Best Sub-Verticals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Roofing (highest avg job value), HVAC, plumbing, electrical, general contracting, home remodeling, landscaping, painting. Roofing + HVAC are top priority.</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Sweet Spot Size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$500K–$10M annual revenue. 2–20 employees. Owner-operated or with one office admin. No dedicated call center. Google Business Profile active.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Pain Signals to Look For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No web chat, basic voicemail, few Google reviews (under 50), reviews mentioning slow callbacks or no answer, owner’s personal cell number on the website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Decision Maker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Owner or general manager. Speak their language — avoid jargon, focus on missed jobs and money left on the table. They respond to direct, no-nonsense ROI.</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Upsell Path</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Bid sheet automation (existing case study: Terzo Roofing), proposal follow-up sequences, job status update automation, review request automation, scheduling &amp; dispatch workflow</w:t>
            </w:r>
          </w:p>
        </w:tc>
      </w:tr>
    </w:tbl>
    <w:p>
      <w:pPr>
        <w:spacing w:after="200"/>
      </w:pPr>
    </w:p>
    <w:p>
      <w:pPr>
        <w:spacing w:after="80" w:before="200"/>
      </w:pPr>
      <w:r>
        <w:rPr>
          <w:rFonts w:ascii="Arial" w:cs="Arial" w:eastAsia="Arial" w:hAnsi="Arial"/>
          <w:b/>
          <w:bCs/>
          <w:color w:val="D4A017"/>
          <w:sz w:val="24"/>
          <w:szCs w:val="24"/>
        </w:rPr>
        <w:t xml:space="preserve">Construction Outreach Strategy</w:t>
      </w:r>
    </w:p>
    <w:p>
      <w:pPr>
        <w:spacing w:after="120"/>
      </w:pPr>
      <w:r>
        <w:rPr>
          <w:rFonts w:ascii="Arial" w:cs="Arial" w:eastAsia="Arial" w:hAnsi="Arial"/>
          <w:color w:val="1A1A1A"/>
          <w:sz w:val="22"/>
          <w:szCs w:val="22"/>
        </w:rPr>
        <w:t xml:space="preserve">Phase 1 — List Building: Google Maps search for roofing contractors, HVAC companies, and plumbers in your target market. Filter for 3.0–4.3-star ratings (the ones who have room to grow and are not yet locked into enterprise tools). Look for businesses with 10–100 reviews — established but not enterprise. Note any with owner cell numbers on the website.</w:t>
      </w:r>
    </w:p>
    <w:p>
      <w:pPr>
        <w:spacing w:after="120"/>
      </w:pPr>
      <w:r>
        <w:rPr>
          <w:rFonts w:ascii="Arial" w:cs="Arial" w:eastAsia="Arial" w:hAnsi="Arial"/>
          <w:color w:val="1A1A1A"/>
          <w:sz w:val="22"/>
          <w:szCs w:val="22"/>
        </w:rPr>
        <w:t xml:space="preserve">Phase 2 — Initial Contact: Call during business hours (8AM–10AM is best for contractor owners — before they’re deep on a job site). Open with the job-site missed call hook from the pitch script. These owners respect directness — skip the formality and get to the problem fast.</w:t>
      </w:r>
    </w:p>
    <w:p>
      <w:pPr>
        <w:spacing w:after="120"/>
      </w:pPr>
      <w:r>
        <w:rPr>
          <w:rFonts w:ascii="Arial" w:cs="Arial" w:eastAsia="Arial" w:hAnsi="Arial"/>
          <w:color w:val="1A1A1A"/>
          <w:sz w:val="22"/>
          <w:szCs w:val="22"/>
        </w:rPr>
        <w:t xml:space="preserve">Phase 3 — Demo: Show the AI answering a call for a roofing inquiry, qualifying the lead (roof type, age, visible damage), and scheduling an estimate. Connect to the Terzo Roofing case study as social proof.</w:t>
      </w:r>
    </w:p>
    <w:p>
      <w:pPr>
        <w:spacing w:after="120"/>
      </w:pPr>
      <w:r>
        <w:rPr>
          <w:rFonts w:ascii="Arial" w:cs="Arial" w:eastAsia="Arial" w:hAnsi="Arial"/>
          <w:color w:val="1A1A1A"/>
          <w:sz w:val="22"/>
          <w:szCs w:val="22"/>
        </w:rPr>
        <w:t xml:space="preserve">Phase 4 — Proposal + Upsell: Lead with the $500/mo AI Receptionist. Introduce the bid automation workflow (Terzo Roofing case study) as proof of additional value. Offer to bundle for $1,000/mo.</w:t>
      </w:r>
    </w:p>
    <w:p>
      <w:r>
        <w:br w:type="page"/>
      </w:r>
    </w:p>
    <w:p>
      <w:pPr>
        <w:pStyle w:val="Heading1"/>
        <w:spacing w:after="160" w:before="320"/>
      </w:pPr>
      <w:r>
        <w:rPr>
          <w:rFonts w:ascii="Arial" w:cs="Arial" w:eastAsia="Arial" w:hAnsi="Arial"/>
          <w:b/>
          <w:bCs/>
          <w:color w:val="1B3A6B"/>
          <w:sz w:val="36"/>
          <w:szCs w:val="36"/>
        </w:rPr>
        <w:t xml:space="preserve">30-Day Outreach Sprint Plan</w:t>
      </w:r>
    </w:p>
    <w:p>
      <w:pPr>
        <w:spacing w:after="120"/>
      </w:pPr>
      <w:r>
        <w:rPr>
          <w:rFonts w:ascii="Arial" w:cs="Arial" w:eastAsia="Arial" w:hAnsi="Arial"/>
          <w:color w:val="1A1A1A"/>
          <w:sz w:val="22"/>
          <w:szCs w:val="22"/>
        </w:rPr>
        <w:t xml:space="preserve">Use this sprint framework when launching outreach in any market. The goal is to generate 5 demo bookings in the first 30 days from a standing start.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2860"/>
        <w:gridCol w:w="286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Week</w:t>
            </w:r>
          </w:p>
        </w:tc>
        <w:tc>
          <w:tcPr>
            <w:tcW w:type="dxa" w:w="23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Focus</w:t>
            </w:r>
          </w:p>
        </w:tc>
        <w:tc>
          <w:tcPr>
            <w:tcW w:type="dxa" w:w="23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Daily Activity</w:t>
            </w:r>
          </w:p>
        </w:tc>
        <w:tc>
          <w:tcPr>
            <w:tcW w:type="dxa" w:w="23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Weekly Goal</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Week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Healthcare — Build list + begin calls</w:t>
            </w:r>
          </w:p>
        </w:tc>
        <w:tc>
          <w:tcPr>
            <w:tcW w:type="dxa" w:w="23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Build list of 20 targets/day. Make 10 calls/day. Leave VM + text same-day.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50 contacts, 3+ demos booked</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Week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Law Firms — Build list + begin calls</w:t>
            </w:r>
          </w:p>
        </w:tc>
        <w:tc>
          <w:tcPr>
            <w:tcW w:type="dxa" w:w="23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Identify firms running Google Ads. 10 calls/day. Personalize opening with ad reference.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40 contacts, 2+ demos booked</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Week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Construction — Build list + begin calls</w:t>
            </w:r>
          </w:p>
        </w:tc>
        <w:tc>
          <w:tcPr>
            <w:tcW w:type="dxa" w:w="23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Google Maps research. Call before 10AM. Reference missed jobs. 10 calls/day.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40 contacts, 2+ demos booked</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Week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Follow-up + Close</w:t>
            </w:r>
          </w:p>
        </w:tc>
        <w:tc>
          <w:tcPr>
            <w:tcW w:type="dxa" w:w="23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1A1A1A"/>
                <w:sz w:val="20"/>
                <w:szCs w:val="20"/>
              </w:rPr>
              <w:t xml:space="preserve">Call all demo no-shows. Follow up on proposals sent. Ask for referrals from early clients.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 proposals signed</w:t>
            </w:r>
          </w:p>
        </w:tc>
      </w:tr>
    </w:tbl>
    <w:p>
      <w:pPr>
        <w:spacing w:after="200"/>
      </w:pPr>
    </w:p>
    <w:p>
      <w:pPr>
        <w:pStyle w:val="Heading2"/>
        <w:spacing w:after="120" w:before="240"/>
      </w:pPr>
      <w:r>
        <w:rPr>
          <w:rFonts w:ascii="Arial" w:cs="Arial" w:eastAsia="Arial" w:hAnsi="Arial"/>
          <w:b/>
          <w:bCs/>
          <w:color w:val="2563A8"/>
          <w:sz w:val="28"/>
          <w:szCs w:val="28"/>
        </w:rPr>
        <w:t xml:space="preserve">Call Volume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Realistic Conversion Rates for Cold Outreach (B2B SaaS/Services Benchmarks)</w:t>
            </w:r>
          </w:p>
          <w:p>
            <w:pPr>
              <w:pStyle w:val="ListParagraph"/>
              <w:numPr>
                <w:ilvl w:val="0"/>
                <w:numId w:val="2"/>
              </w:numPr>
              <w:spacing w:after="80"/>
            </w:pPr>
            <w:r>
              <w:rPr>
                <w:rFonts w:ascii="Arial" w:cs="Arial" w:eastAsia="Arial" w:hAnsi="Arial"/>
                <w:color w:val="1A1A1A"/>
                <w:sz w:val="22"/>
                <w:szCs w:val="22"/>
              </w:rPr>
              <w:t xml:space="preserve">Cold calls to conversation: 20–30% (10 calls → 2–3 real conversations)</w:t>
            </w:r>
          </w:p>
          <w:p>
            <w:pPr>
              <w:pStyle w:val="ListParagraph"/>
              <w:numPr>
                <w:ilvl w:val="0"/>
                <w:numId w:val="2"/>
              </w:numPr>
              <w:spacing w:after="80"/>
            </w:pPr>
            <w:r>
              <w:rPr>
                <w:rFonts w:ascii="Arial" w:cs="Arial" w:eastAsia="Arial" w:hAnsi="Arial"/>
                <w:color w:val="1A1A1A"/>
                <w:sz w:val="22"/>
                <w:szCs w:val="22"/>
              </w:rPr>
              <w:t xml:space="preserve">Conversations to demo booked: 15–25% (3 conversations → 1 demo booked)</w:t>
            </w:r>
          </w:p>
          <w:p>
            <w:pPr>
              <w:pStyle w:val="ListParagraph"/>
              <w:numPr>
                <w:ilvl w:val="0"/>
                <w:numId w:val="2"/>
              </w:numPr>
              <w:spacing w:after="80"/>
            </w:pPr>
            <w:r>
              <w:rPr>
                <w:rFonts w:ascii="Arial" w:cs="Arial" w:eastAsia="Arial" w:hAnsi="Arial"/>
                <w:color w:val="1A1A1A"/>
                <w:sz w:val="22"/>
                <w:szCs w:val="22"/>
              </w:rPr>
              <w:t xml:space="preserve">Demos to proposal: 50–70% (2 demos → 1 proposal sent)</w:t>
            </w:r>
          </w:p>
          <w:p>
            <w:pPr>
              <w:pStyle w:val="ListParagraph"/>
              <w:numPr>
                <w:ilvl w:val="0"/>
                <w:numId w:val="2"/>
              </w:numPr>
              <w:spacing w:after="80"/>
            </w:pPr>
            <w:r>
              <w:rPr>
                <w:rFonts w:ascii="Arial" w:cs="Arial" w:eastAsia="Arial" w:hAnsi="Arial"/>
                <w:color w:val="1A1A1A"/>
                <w:sz w:val="22"/>
                <w:szCs w:val="22"/>
              </w:rPr>
              <w:t xml:space="preserve">Proposals to signed client: 30–50% (2 proposals → 1 signed)</w:t>
            </w:r>
          </w:p>
          <w:p>
            <w:pPr>
              <w:pStyle w:val="ListParagraph"/>
              <w:numPr>
                <w:ilvl w:val="0"/>
                <w:numId w:val="2"/>
              </w:numPr>
              <w:spacing w:after="80"/>
            </w:pPr>
            <w:r>
              <w:rPr>
                <w:rFonts w:ascii="Arial" w:cs="Arial" w:eastAsia="Arial" w:hAnsi="Arial"/>
                <w:color w:val="1A1A1A"/>
                <w:sz w:val="22"/>
                <w:szCs w:val="22"/>
              </w:rPr>
              <w:t xml:space="preserve">Implied: ~15–20 cold calls to generate one new client</w:t>
            </w:r>
          </w:p>
          <w:p>
            <w:pPr>
              <w:pStyle w:val="ListParagraph"/>
              <w:numPr>
                <w:ilvl w:val="0"/>
                <w:numId w:val="2"/>
              </w:numPr>
              <w:spacing w:after="80"/>
            </w:pPr>
            <w:r>
              <w:rPr>
                <w:rFonts w:ascii="Arial" w:cs="Arial" w:eastAsia="Arial" w:hAnsi="Arial"/>
                <w:color w:val="1A1A1A"/>
                <w:sz w:val="22"/>
                <w:szCs w:val="22"/>
              </w:rPr>
              <w:t xml:space="preserve">At 10 calls/day × 20 days = 200 calls → projected 10–13 new clients in Month 1</w:t>
            </w:r>
          </w:p>
        </w:tc>
      </w:tr>
    </w:tbl>
    <w:p>
      <w:r>
        <w:br w:type="page"/>
      </w:r>
    </w:p>
    <w:p>
      <w:pPr>
        <w:pStyle w:val="Heading1"/>
        <w:spacing w:after="160" w:before="320"/>
      </w:pPr>
      <w:r>
        <w:rPr>
          <w:rFonts w:ascii="Arial" w:cs="Arial" w:eastAsia="Arial" w:hAnsi="Arial"/>
          <w:b/>
          <w:bCs/>
          <w:color w:val="1B3A6B"/>
          <w:sz w:val="36"/>
          <w:szCs w:val="36"/>
        </w:rPr>
        <w:t xml:space="preserve">Follow-Up Sequence — After First Call</w:t>
      </w:r>
    </w:p>
    <w:p>
      <w:pPr>
        <w:spacing w:after="120"/>
      </w:pPr>
      <w:r>
        <w:rPr>
          <w:rFonts w:ascii="Arial" w:cs="Arial" w:eastAsia="Arial" w:hAnsi="Arial"/>
          <w:color w:val="1A1A1A"/>
          <w:sz w:val="22"/>
          <w:szCs w:val="22"/>
        </w:rPr>
        <w:t xml:space="preserve">Most deals are won on the 4th to 7th touchpoint. Do not stop after one call or one voicemail. Use this sequence for every lead that showed interest but did not immediately book a demo.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Day</w:t>
            </w:r>
          </w:p>
        </w:tc>
        <w:tc>
          <w:tcPr>
            <w:tcW w:type="dxa" w:w="18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Channel</w:t>
            </w:r>
          </w:p>
        </w:tc>
        <w:tc>
          <w:tcPr>
            <w:tcW w:type="dxa" w:w="612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Message / Action</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Day 1</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Call + VM</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Make initial call. Leave voicemail: “Hey [Name], this is Dag with Polymathics AI — I help [type] businesses capture every call with an AI receptionist. Happy to show you a 20-min demo. Call me back at [number] or I’ll try you again.”</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Day 1</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Text (same day)</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Hi [Name], this is Dag from Polymathics AI — just left you a voicemail about an AI receptionist for your business. Happy to show you how it works in 20 minutes whenever it’s convenient. Any interest?</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Day 3</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Call attempt 2</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Call again. If they answer, reference the previous attempt. If no answer, skip voicemail — just send another text.</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Day 3</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Text</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“Hey [Name], tried to reach you again. Quick question: are missed calls currently a problem for you? If so, I have a solution worth 20 minutes of your time.”</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Day 7</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Email (if available)</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Subject: AI Receptionist for [Business Name] — quick question. Body: 3–5 sentences introducing the AI Receptionist, referencing a pain point specific to their industry, and linking to your demo booking page or offering a time.</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Day 14</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Final call + break-up text</w:t>
            </w:r>
          </w:p>
        </w:tc>
        <w:tc>
          <w:tcPr>
            <w:tcW w:type="dxa" w:w="6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One more call attempt. Then text: “Hey [Name] — I don’t want to be a pest. If you ever want to see how an AI receptionist could work for [Business Name], feel free to reach out. Happy to set it up whenever you’re ready.”</w:t>
            </w:r>
          </w:p>
        </w:tc>
      </w:tr>
    </w:tbl>
    <w:p>
      <w:r>
        <w:br w:type="page"/>
      </w:r>
    </w:p>
    <w:p>
      <w:pPr>
        <w:pStyle w:val="Heading1"/>
        <w:spacing w:after="160" w:before="320"/>
      </w:pPr>
      <w:r>
        <w:rPr>
          <w:rFonts w:ascii="Arial" w:cs="Arial" w:eastAsia="Arial" w:hAnsi="Arial"/>
          <w:b/>
          <w:bCs/>
          <w:color w:val="1B3A6B"/>
          <w:sz w:val="36"/>
          <w:szCs w:val="36"/>
        </w:rPr>
        <w:t xml:space="preserve">Referral Strategy &amp; Client Retention</w:t>
      </w:r>
    </w:p>
    <w:p>
      <w:pPr>
        <w:pStyle w:val="Heading2"/>
        <w:spacing w:after="120" w:before="240"/>
      </w:pPr>
      <w:r>
        <w:rPr>
          <w:rFonts w:ascii="Arial" w:cs="Arial" w:eastAsia="Arial" w:hAnsi="Arial"/>
          <w:b/>
          <w:bCs/>
          <w:color w:val="2563A8"/>
          <w:sz w:val="28"/>
          <w:szCs w:val="28"/>
        </w:rPr>
        <w:t xml:space="preserve">Generating Referrals</w:t>
      </w:r>
    </w:p>
    <w:p>
      <w:pPr>
        <w:spacing w:after="120"/>
      </w:pPr>
      <w:r>
        <w:rPr>
          <w:rFonts w:ascii="Arial" w:cs="Arial" w:eastAsia="Arial" w:hAnsi="Arial"/>
          <w:color w:val="1A1A1A"/>
          <w:sz w:val="22"/>
          <w:szCs w:val="22"/>
        </w:rPr>
        <w:t xml:space="preserve">In local B2B markets, referrals compound rapidly. A healthcare client who is happy will know other practice owners. A satisfied law firm will mention you to attorneys in their network. Build referral mechanics in from day one.</w:t>
      </w:r>
    </w:p>
    <w:p>
      <w:pPr>
        <w:spacing w:after="120"/>
      </w:pPr>
    </w:p>
    <w:p>
      <w:pPr>
        <w:pStyle w:val="ListParagraph"/>
        <w:numPr>
          <w:ilvl w:val="0"/>
          <w:numId w:val="2"/>
        </w:numPr>
        <w:spacing w:after="80"/>
      </w:pPr>
      <w:r>
        <w:rPr>
          <w:rFonts w:ascii="Arial" w:cs="Arial" w:eastAsia="Arial" w:hAnsi="Arial"/>
          <w:color w:val="1A1A1A"/>
          <w:sz w:val="22"/>
          <w:szCs w:val="22"/>
        </w:rPr>
        <w:t xml:space="preserve">Ask at day 30: “We’re glad this is working out for you — do you know any other [dental/law/contracting] businesses that might benefit from this?”</w:t>
      </w:r>
    </w:p>
    <w:p>
      <w:pPr>
        <w:pStyle w:val="ListParagraph"/>
        <w:numPr>
          <w:ilvl w:val="0"/>
          <w:numId w:val="2"/>
        </w:numPr>
        <w:spacing w:after="80"/>
      </w:pPr>
      <w:r>
        <w:rPr>
          <w:rFonts w:ascii="Arial" w:cs="Arial" w:eastAsia="Arial" w:hAnsi="Arial"/>
          <w:color w:val="1A1A1A"/>
          <w:sz w:val="22"/>
          <w:szCs w:val="22"/>
        </w:rPr>
        <w:t xml:space="preserve">Offer a $200 credit for any referral that converts to a paying client</w:t>
      </w:r>
    </w:p>
    <w:p>
      <w:pPr>
        <w:pStyle w:val="ListParagraph"/>
        <w:numPr>
          <w:ilvl w:val="0"/>
          <w:numId w:val="2"/>
        </w:numPr>
        <w:spacing w:after="80"/>
      </w:pPr>
      <w:r>
        <w:rPr>
          <w:rFonts w:ascii="Arial" w:cs="Arial" w:eastAsia="Arial" w:hAnsi="Arial"/>
          <w:color w:val="1A1A1A"/>
          <w:sz w:val="22"/>
          <w:szCs w:val="22"/>
        </w:rPr>
        <w:t xml:space="preserve">Build a simple referral card or one-pager clients can share with peers</w:t>
      </w:r>
    </w:p>
    <w:p>
      <w:pPr>
        <w:pStyle w:val="ListParagraph"/>
        <w:numPr>
          <w:ilvl w:val="0"/>
          <w:numId w:val="2"/>
        </w:numPr>
        <w:spacing w:after="80"/>
      </w:pPr>
      <w:r>
        <w:rPr>
          <w:rFonts w:ascii="Arial" w:cs="Arial" w:eastAsia="Arial" w:hAnsi="Arial"/>
          <w:color w:val="1A1A1A"/>
          <w:sz w:val="22"/>
          <w:szCs w:val="22"/>
        </w:rPr>
        <w:t xml:space="preserve">Ask satisfied clients for a Google review and a LinkedIn testimonial</w:t>
      </w:r>
    </w:p>
    <w:p>
      <w:pPr>
        <w:pStyle w:val="ListParagraph"/>
        <w:numPr>
          <w:ilvl w:val="0"/>
          <w:numId w:val="2"/>
        </w:numPr>
        <w:spacing w:after="80"/>
      </w:pPr>
      <w:r>
        <w:rPr>
          <w:rFonts w:ascii="Arial" w:cs="Arial" w:eastAsia="Arial" w:hAnsi="Arial"/>
          <w:color w:val="1A1A1A"/>
          <w:sz w:val="22"/>
          <w:szCs w:val="22"/>
        </w:rPr>
        <w:t xml:space="preserve">If the client is in a networking group (BNI, chamber of commerce), ask to be introduced as their “AI tech guy” at a meeting</w:t>
      </w:r>
    </w:p>
    <w:p>
      <w:pPr>
        <w:spacing w:after="200"/>
      </w:pPr>
    </w:p>
    <w:p>
      <w:pPr>
        <w:pStyle w:val="Heading2"/>
        <w:spacing w:after="120" w:before="240"/>
      </w:pPr>
      <w:r>
        <w:rPr>
          <w:rFonts w:ascii="Arial" w:cs="Arial" w:eastAsia="Arial" w:hAnsi="Arial"/>
          <w:b/>
          <w:bCs/>
          <w:color w:val="2563A8"/>
          <w:sz w:val="28"/>
          <w:szCs w:val="28"/>
        </w:rPr>
        <w:t xml:space="preserve">Client Retention Mechanics</w:t>
      </w:r>
    </w:p>
    <w:p>
      <w:pPr>
        <w:spacing w:after="120"/>
      </w:pPr>
      <w:r>
        <w:rPr>
          <w:rFonts w:ascii="Arial" w:cs="Arial" w:eastAsia="Arial" w:hAnsi="Arial"/>
          <w:color w:val="1A1A1A"/>
          <w:sz w:val="22"/>
          <w:szCs w:val="22"/>
        </w:rPr>
        <w:t xml:space="preserve">Churn is the enemy of an agency model. These are the key behaviors that keep clients on retainer long-term.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Retention Action</w:t>
            </w:r>
          </w:p>
        </w:tc>
        <w:tc>
          <w:tcPr>
            <w:tcW w:type="dxa" w:w="63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When &amp; How</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2563A8"/>
                <w:sz w:val="20"/>
                <w:szCs w:val="20"/>
              </w:rPr>
              <w:t xml:space="preserve">Monthly Usage Report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Send a simple report each month: calls handled, leads captured, appointments scheduled. Makes the ROI visible.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2563A8"/>
                <w:sz w:val="20"/>
                <w:szCs w:val="20"/>
              </w:rPr>
              <w:t xml:space="preserve">30-Day Check-In Call</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Call every new client at day 30 to ask how it’s going, collect feedback, and surface upsell opportunities.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2563A8"/>
                <w:sz w:val="20"/>
                <w:szCs w:val="20"/>
              </w:rPr>
              <w:t xml:space="preserve">Proactive Optimization</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If you notice a gap (e.g., the AI is struggling with a particular question type), fix it proactively and tell the client you updated it.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2563A8"/>
                <w:sz w:val="20"/>
                <w:szCs w:val="20"/>
              </w:rPr>
              <w:t xml:space="preserve">Introduce New Workflows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Every 60–90 days, present one new automation idea relevant to their business. This keeps the relationship active and seeds upsell revenue.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2563A8"/>
                <w:sz w:val="20"/>
                <w:szCs w:val="20"/>
              </w:rPr>
              <w:t xml:space="preserve">Quarterly Business Review</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For $1,000/mo clients, run a brief quarterly review: what’s working, what’s next, what’s the ROI. Positions you as a strategic partner, not just a vendor.</w:t>
            </w:r>
          </w:p>
        </w:tc>
      </w:tr>
    </w:tbl>
    <w:p>
      <w:r>
        <w:br w:type="page"/>
      </w:r>
    </w:p>
    <w:p>
      <w:pPr>
        <w:pStyle w:val="Heading1"/>
        <w:spacing w:after="160" w:before="320"/>
      </w:pPr>
      <w:r>
        <w:rPr>
          <w:rFonts w:ascii="Arial" w:cs="Arial" w:eastAsia="Arial" w:hAnsi="Arial"/>
          <w:b/>
          <w:bCs/>
          <w:color w:val="1B3A6B"/>
          <w:sz w:val="36"/>
          <w:szCs w:val="36"/>
        </w:rPr>
        <w:t xml:space="preserve">KPI Tracking — Sales Dashboard</w:t>
      </w:r>
    </w:p>
    <w:p>
      <w:pPr>
        <w:spacing w:after="120"/>
      </w:pPr>
      <w:r>
        <w:rPr>
          <w:rFonts w:ascii="Arial" w:cs="Arial" w:eastAsia="Arial" w:hAnsi="Arial"/>
          <w:color w:val="1A1A1A"/>
          <w:sz w:val="22"/>
          <w:szCs w:val="22"/>
        </w:rPr>
        <w:t xml:space="preserve">Track these metrics weekly to know if your outreach engine is healthy. If any metric falls below benchmark, address the specific stage it represents.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KPI</w:t>
            </w:r>
          </w:p>
        </w:tc>
        <w:tc>
          <w:tcPr>
            <w:tcW w:type="dxa" w:w="24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Weekly Target</w:t>
            </w:r>
          </w:p>
        </w:tc>
        <w:tc>
          <w:tcPr>
            <w:tcW w:type="dxa" w:w="384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If Below Target — Fix This</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Calls made</w:t>
            </w:r>
          </w:p>
        </w:tc>
        <w:tc>
          <w:tcPr>
            <w:tcW w:type="dxa" w:w="24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6534"/>
                <w:sz w:val="20"/>
                <w:szCs w:val="20"/>
              </w:rPr>
              <w:t xml:space="preserve">50+</w:t>
            </w:r>
          </w:p>
        </w:tc>
        <w:tc>
          <w:tcPr>
            <w:tcW w:type="dxa" w:w="38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Block time on your calendar. No calls = no pipeline.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Conversations (calls answered)</w:t>
            </w:r>
          </w:p>
        </w:tc>
        <w:tc>
          <w:tcPr>
            <w:tcW w:type="dxa" w:w="24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6534"/>
                <w:sz w:val="20"/>
                <w:szCs w:val="20"/>
              </w:rPr>
              <w:t xml:space="preserve">12–15</w:t>
            </w:r>
          </w:p>
        </w:tc>
        <w:tc>
          <w:tcPr>
            <w:tcW w:type="dxa" w:w="38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Vary call times. Try 8–9AM or 5–6PM for contractors.</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Demos booked</w:t>
            </w:r>
          </w:p>
        </w:tc>
        <w:tc>
          <w:tcPr>
            <w:tcW w:type="dxa" w:w="24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6534"/>
                <w:sz w:val="20"/>
                <w:szCs w:val="20"/>
              </w:rPr>
              <w:t xml:space="preserve">3–5</w:t>
            </w:r>
          </w:p>
        </w:tc>
        <w:tc>
          <w:tcPr>
            <w:tcW w:type="dxa" w:w="38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Refine the hook. Test a new opening line.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Demos completed</w:t>
            </w:r>
          </w:p>
        </w:tc>
        <w:tc>
          <w:tcPr>
            <w:tcW w:type="dxa" w:w="24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6534"/>
                <w:sz w:val="20"/>
                <w:szCs w:val="20"/>
              </w:rPr>
              <w:t xml:space="preserve">2–4</w:t>
            </w:r>
          </w:p>
        </w:tc>
        <w:tc>
          <w:tcPr>
            <w:tcW w:type="dxa" w:w="38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Send reminder texts 1 hour before. Offer to reschedule immediately on no-show.</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Proposals sent</w:t>
            </w:r>
          </w:p>
        </w:tc>
        <w:tc>
          <w:tcPr>
            <w:tcW w:type="dxa" w:w="24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6534"/>
                <w:sz w:val="20"/>
                <w:szCs w:val="20"/>
              </w:rPr>
              <w:t xml:space="preserve">1–3</w:t>
            </w:r>
          </w:p>
        </w:tc>
        <w:tc>
          <w:tcPr>
            <w:tcW w:type="dxa" w:w="38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If demos aren’t converting to proposals, revise the demo flow.</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Proposals signed</w:t>
            </w:r>
          </w:p>
        </w:tc>
        <w:tc>
          <w:tcPr>
            <w:tcW w:type="dxa" w:w="24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6534"/>
                <w:sz w:val="20"/>
                <w:szCs w:val="20"/>
              </w:rPr>
              <w:t xml:space="preserve">0.5–1 (2-week close)</w:t>
            </w:r>
          </w:p>
        </w:tc>
        <w:tc>
          <w:tcPr>
            <w:tcW w:type="dxa" w:w="38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Add a 30-day pilot offer. Reduce friction on the decision.</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0"/>
                <w:szCs w:val="20"/>
              </w:rPr>
              <w:t xml:space="preserve">Active MRR added</w:t>
            </w:r>
          </w:p>
        </w:tc>
        <w:tc>
          <w:tcPr>
            <w:tcW w:type="dxa" w:w="24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color w:val="166534"/>
                <w:sz w:val="20"/>
                <w:szCs w:val="20"/>
              </w:rPr>
              <w:t xml:space="preserve">$500–$1,000</w:t>
            </w:r>
          </w:p>
        </w:tc>
        <w:tc>
          <w:tcPr>
            <w:tcW w:type="dxa" w:w="38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Track cumulative. Celebrate milestones.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6-Month Revenue Projection — Conservative</w:t>
            </w:r>
          </w:p>
          <w:p>
            <w:pPr>
              <w:pStyle w:val="ListParagraph"/>
              <w:numPr>
                <w:ilvl w:val="0"/>
                <w:numId w:val="2"/>
              </w:numPr>
              <w:spacing w:after="80"/>
            </w:pPr>
            <w:r>
              <w:rPr>
                <w:rFonts w:ascii="Arial" w:cs="Arial" w:eastAsia="Arial" w:hAnsi="Arial"/>
                <w:color w:val="1A1A1A"/>
                <w:sz w:val="22"/>
                <w:szCs w:val="22"/>
              </w:rPr>
              <w:t xml:space="preserve">Month 1: 3 clients signed × $500 avg = $1,500 MRR</w:t>
            </w:r>
          </w:p>
          <w:p>
            <w:pPr>
              <w:pStyle w:val="ListParagraph"/>
              <w:numPr>
                <w:ilvl w:val="0"/>
                <w:numId w:val="2"/>
              </w:numPr>
              <w:spacing w:after="80"/>
            </w:pPr>
            <w:r>
              <w:rPr>
                <w:rFonts w:ascii="Arial" w:cs="Arial" w:eastAsia="Arial" w:hAnsi="Arial"/>
                <w:color w:val="1A1A1A"/>
                <w:sz w:val="22"/>
                <w:szCs w:val="22"/>
              </w:rPr>
              <w:t xml:space="preserve">Month 2: 3 more clients + 1 upsell to $1,000 = $3,000 MRR</w:t>
            </w:r>
          </w:p>
          <w:p>
            <w:pPr>
              <w:pStyle w:val="ListParagraph"/>
              <w:numPr>
                <w:ilvl w:val="0"/>
                <w:numId w:val="2"/>
              </w:numPr>
              <w:spacing w:after="80"/>
            </w:pPr>
            <w:r>
              <w:rPr>
                <w:rFonts w:ascii="Arial" w:cs="Arial" w:eastAsia="Arial" w:hAnsi="Arial"/>
                <w:color w:val="1A1A1A"/>
                <w:sz w:val="22"/>
                <w:szCs w:val="22"/>
              </w:rPr>
              <w:t xml:space="preserve">Month 3: 3 more clients, 2 upsells = $5,000 MRR</w:t>
            </w:r>
          </w:p>
          <w:p>
            <w:pPr>
              <w:pStyle w:val="ListParagraph"/>
              <w:numPr>
                <w:ilvl w:val="0"/>
                <w:numId w:val="2"/>
              </w:numPr>
              <w:spacing w:after="80"/>
            </w:pPr>
            <w:r>
              <w:rPr>
                <w:rFonts w:ascii="Arial" w:cs="Arial" w:eastAsia="Arial" w:hAnsi="Arial"/>
                <w:color w:val="1A1A1A"/>
                <w:sz w:val="22"/>
                <w:szCs w:val="22"/>
              </w:rPr>
              <w:t xml:space="preserve">Month 4: 2 more, 2 upsells = $6,500 MRR</w:t>
            </w:r>
          </w:p>
          <w:p>
            <w:pPr>
              <w:pStyle w:val="ListParagraph"/>
              <w:numPr>
                <w:ilvl w:val="0"/>
                <w:numId w:val="2"/>
              </w:numPr>
              <w:spacing w:after="80"/>
            </w:pPr>
            <w:r>
              <w:rPr>
                <w:rFonts w:ascii="Arial" w:cs="Arial" w:eastAsia="Arial" w:hAnsi="Arial"/>
                <w:color w:val="1A1A1A"/>
                <w:sz w:val="22"/>
                <w:szCs w:val="22"/>
              </w:rPr>
              <w:t xml:space="preserve">Month 5: 2 more, 2 upsells = $8,000 MRR</w:t>
            </w:r>
          </w:p>
          <w:p>
            <w:pPr>
              <w:pStyle w:val="ListParagraph"/>
              <w:numPr>
                <w:ilvl w:val="0"/>
                <w:numId w:val="2"/>
              </w:numPr>
              <w:spacing w:after="80"/>
            </w:pPr>
            <w:r>
              <w:rPr>
                <w:rFonts w:ascii="Arial" w:cs="Arial" w:eastAsia="Arial" w:hAnsi="Arial"/>
                <w:color w:val="1A1A1A"/>
                <w:sz w:val="22"/>
                <w:szCs w:val="22"/>
              </w:rPr>
              <w:t xml:space="preserve">Month 6: Referral momentum kicks in — target $10,000 MRR</w:t>
            </w:r>
          </w:p>
          <w:p>
            <w:pPr>
              <w:spacing w:after="60"/>
            </w:pPr>
            <w:r>
              <w:rPr>
                <w:rFonts w:ascii="Arial" w:cs="Arial" w:eastAsia="Arial" w:hAnsi="Arial"/>
                <w:i/>
                <w:iCs/>
                <w:color w:val="6B7280"/>
                <w:sz w:val="20"/>
                <w:szCs w:val="20"/>
              </w:rPr>
              <w:t xml:space="preserve">* Assumes 0% churn. Retain every client with monthly value reporting and proactive service.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6B7280"/>
        <w:sz w:val="18"/>
        <w:szCs w:val="18"/>
      </w:rPr>
      <w:t xml:space="preserve">Polymathics AI  |  polymathicsai.com</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1"/>
      </w:pBdr>
      <w:tabs>
        <w:tab w:val="right" w:pos="9026"/>
      </w:tabs>
    </w:pPr>
    <w:r>
      <w:rPr>
        <w:rFonts w:ascii="Arial" w:cs="Arial" w:eastAsia="Arial" w:hAnsi="Arial"/>
        <w:b/>
        <w:bCs/>
        <w:color w:val="1B3A6B"/>
        <w:sz w:val="20"/>
        <w:szCs w:val="20"/>
      </w:rPr>
      <w:t xml:space="preserve">POLYMATHICS AI  |  High-Ticket Pursuit Plan</w:t>
    </w:r>
    <w:r>
      <w:rPr>
        <w:rFonts w:ascii="Arial" w:cs="Arial" w:eastAsia="Arial" w:hAnsi="Arial"/>
        <w:color w:val="6B7280"/>
        <w:sz w:val="18"/>
        <w:szCs w:val="18"/>
      </w:rPr>
      <w:t xml:space="preserve">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563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2026-03-12T20:47:09.996Z</dcterms:created>
  <dcterms:modified xsi:type="dcterms:W3CDTF">2026-03-12T20:47:09.996Z</dcterms:modified>
</cp:coreProperties>
</file>

<file path=docProps/custom.xml><?xml version="1.0" encoding="utf-8"?>
<Properties xmlns="http://schemas.openxmlformats.org/officeDocument/2006/custom-properties" xmlns:vt="http://schemas.openxmlformats.org/officeDocument/2006/docPropsVTypes"/>
</file>