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0"/>
        <w:spacing/>
        <w:jc w:val="center"/>
        <w:rPr>
          <w:rFonts w:ascii="Arial" w:hAnsi="Arial" w:eastAsia="Arial" w:cs="Arial"/>
          <w:b/>
          <w:bCs/>
          <w:sz w:val="44"/>
          <w:szCs w:val="44"/>
          <w:lang w:val="en-us"/>
        </w:rPr>
      </w:pPr>
      <w:r>
        <w:rPr>
          <w:rFonts w:ascii="Arial" w:hAnsi="Arial" w:eastAsia="Arial" w:cs="Arial"/>
          <w:b/>
          <w:bCs/>
          <w:sz w:val="44"/>
          <w:szCs w:val="44"/>
          <w:lang w:val="en-us"/>
        </w:rPr>
      </w:r>
    </w:p>
    <w:p>
      <w:pPr>
        <w:pStyle w:val="para10"/>
        <w:spacing/>
        <w:jc w:val="center"/>
        <w:rPr>
          <w:rFonts w:ascii="Arial" w:hAnsi="Arial" w:eastAsia="Arial" w:cs="Arial"/>
          <w:b/>
          <w:bCs/>
          <w:sz w:val="44"/>
          <w:szCs w:val="44"/>
          <w:lang w:val="en-us"/>
        </w:rPr>
      </w:pPr>
      <w:r>
        <w:rPr>
          <w:rFonts w:ascii="Arial" w:hAnsi="Arial" w:eastAsia="Arial" w:cs="Arial"/>
          <w:b/>
          <w:bCs/>
          <w:sz w:val="44"/>
          <w:szCs w:val="44"/>
          <w:lang w:val="en-us"/>
        </w:rPr>
        <w:t>Whitepaper TennisCoin</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6"/>
          <w:szCs w:val="36"/>
          <w:lang w:val="en-us"/>
        </w:rPr>
      </w:pPr>
      <w:r>
        <w:rPr>
          <w:rFonts w:ascii="Arial" w:hAnsi="Arial" w:eastAsia="Arial" w:cs="Arial"/>
          <w:sz w:val="36"/>
          <w:szCs w:val="36"/>
          <w:lang w:val="en-us"/>
        </w:rPr>
        <w:t>1. Introduction</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1.1. Vision and Mission</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In the world of sports, tennis is a discipline that not only teaches physical skills but also values such as discipline, perseverance, and teamwork. However, many children and young people do not have access to the resources needed to practice this sport and develop their potential. TennisCoin is created with the aim of changing this reality. TennisCoin is a blockchain-based utility token designed to raise funds to facilitate access to tennis for young talents and to improve infrastructure and training programs.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1.2. Project Overview</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TennisCoin (TENCO) is a BEP-20 token on the BNB Smart Chain (BSC) that extends ERC-20. Through TennisCoin, the funds raised will be used to finance scholarships, purchase equipment, renovate tennis courts, and support training programs for children and young people. The token will also be used within a dedicated platform that offers exclusive services and benefits to holders.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6"/>
          <w:szCs w:val="36"/>
          <w:lang w:val="en-us"/>
        </w:rPr>
      </w:pPr>
      <w:r>
        <w:rPr>
          <w:rFonts w:ascii="Arial" w:hAnsi="Arial" w:eastAsia="Arial" w:cs="Arial"/>
          <w:sz w:val="36"/>
          <w:szCs w:val="36"/>
          <w:lang w:val="en-us"/>
        </w:rPr>
        <w:t>2. Problem and Solution</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2.1. Problem</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 Limited Access: Many children and young people from disadvantaged backgrounds do not have access to quality tennis facilities or training programs.</w:t>
      </w:r>
    </w:p>
    <w:p>
      <w:pPr>
        <w:rPr>
          <w:rFonts w:ascii="Arial" w:hAnsi="Arial" w:eastAsia="Arial" w:cs="Arial"/>
          <w:sz w:val="32"/>
          <w:szCs w:val="32"/>
          <w:lang w:val="en-us"/>
        </w:rPr>
      </w:pPr>
      <w:r>
        <w:rPr>
          <w:rFonts w:ascii="Arial" w:hAnsi="Arial" w:eastAsia="Arial" w:cs="Arial"/>
          <w:sz w:val="32"/>
          <w:szCs w:val="32"/>
          <w:lang w:val="en-us"/>
        </w:rPr>
        <w:t>- High Costs: Equipment and expenses for participating in tennis courses can be prohibitive for many families.</w:t>
      </w:r>
    </w:p>
    <w:p>
      <w:pPr>
        <w:rPr>
          <w:rFonts w:ascii="Arial" w:hAnsi="Arial" w:eastAsia="Arial" w:cs="Arial"/>
          <w:sz w:val="32"/>
          <w:szCs w:val="32"/>
          <w:lang w:val="en-us"/>
        </w:rPr>
      </w:pPr>
      <w:r>
        <w:rPr>
          <w:rFonts w:ascii="Arial" w:hAnsi="Arial" w:eastAsia="Arial" w:cs="Arial"/>
          <w:sz w:val="32"/>
          <w:szCs w:val="32"/>
          <w:lang w:val="en-us"/>
        </w:rPr>
        <w:t>- Inadequate Infrastructure: Existing tennis facilities often need improvements to be accessible and safe for young athletes.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2.2. Solution</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TennisCoin offers an innovative and sustainable solution to address these problems through:</w:t>
      </w:r>
    </w:p>
    <w:p>
      <w:pPr>
        <w:rPr>
          <w:rFonts w:ascii="Arial" w:hAnsi="Arial" w:eastAsia="Arial" w:cs="Arial"/>
          <w:sz w:val="32"/>
          <w:szCs w:val="32"/>
          <w:lang w:val="en-us"/>
        </w:rPr>
      </w:pPr>
      <w:r>
        <w:rPr>
          <w:rFonts w:ascii="Arial" w:hAnsi="Arial" w:eastAsia="Arial" w:cs="Arial"/>
          <w:sz w:val="32"/>
          <w:szCs w:val="32"/>
          <w:lang w:val="en-us"/>
        </w:rPr>
        <w:t>- Fundraising: Using the funds raised from the token sale to finance scholarships and improve existing facilities.</w:t>
      </w:r>
    </w:p>
    <w:p>
      <w:pPr>
        <w:rPr>
          <w:rFonts w:ascii="Arial" w:hAnsi="Arial" w:eastAsia="Arial" w:cs="Arial"/>
          <w:sz w:val="32"/>
          <w:szCs w:val="32"/>
          <w:lang w:val="en-us"/>
        </w:rPr>
      </w:pPr>
      <w:r>
        <w:rPr>
          <w:rFonts w:ascii="Arial" w:hAnsi="Arial" w:eastAsia="Arial" w:cs="Arial"/>
          <w:sz w:val="32"/>
          <w:szCs w:val="32"/>
          <w:lang w:val="en-us"/>
        </w:rPr>
        <w:t>- Usage Platform: Creating a platform where tokens can be used to access exclusive services and support tennis programs.</w:t>
      </w:r>
    </w:p>
    <w:p>
      <w:pPr>
        <w:rPr>
          <w:rFonts w:ascii="Arial" w:hAnsi="Arial" w:eastAsia="Arial" w:cs="Arial"/>
          <w:sz w:val="32"/>
          <w:szCs w:val="32"/>
          <w:lang w:val="en-us"/>
        </w:rPr>
      </w:pPr>
      <w:r>
        <w:rPr>
          <w:rFonts w:ascii="Arial" w:hAnsi="Arial" w:eastAsia="Arial" w:cs="Arial"/>
          <w:sz w:val="32"/>
          <w:szCs w:val="32"/>
          <w:lang w:val="en-us"/>
        </w:rPr>
        <w:t>- Community and Support: Building a global community of tennis supporters who will contribute to the cause and benefit from unique advantages.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3. Tokenomics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3.1. Token Details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 Name: TennisCoin</w:t>
      </w:r>
    </w:p>
    <w:p>
      <w:pPr>
        <w:rPr>
          <w:rFonts w:ascii="Arial" w:hAnsi="Arial" w:eastAsia="Arial" w:cs="Arial"/>
          <w:sz w:val="32"/>
          <w:szCs w:val="32"/>
          <w:lang w:val="en-us"/>
        </w:rPr>
      </w:pPr>
      <w:r>
        <w:rPr>
          <w:rFonts w:ascii="Arial" w:hAnsi="Arial" w:eastAsia="Arial" w:cs="Arial"/>
          <w:sz w:val="32"/>
          <w:szCs w:val="32"/>
          <w:lang w:val="en-us"/>
        </w:rPr>
        <w:t>- Symbol: TENCO</w:t>
      </w:r>
    </w:p>
    <w:p>
      <w:pPr>
        <w:rPr>
          <w:rFonts w:ascii="Arial" w:hAnsi="Arial" w:eastAsia="Arial" w:cs="Arial"/>
          <w:sz w:val="32"/>
          <w:szCs w:val="32"/>
          <w:lang w:val="en-us"/>
        </w:rPr>
      </w:pPr>
      <w:r>
        <w:rPr>
          <w:rFonts w:ascii="Arial" w:hAnsi="Arial" w:eastAsia="Arial" w:cs="Arial"/>
          <w:sz w:val="32"/>
          <w:szCs w:val="32"/>
          <w:lang w:val="en-us"/>
        </w:rPr>
        <w:t>- Standard: BEP-20</w:t>
      </w:r>
    </w:p>
    <w:p>
      <w:pPr>
        <w:rPr>
          <w:rFonts w:ascii="Arial" w:hAnsi="Arial" w:eastAsia="Arial" w:cs="Arial"/>
          <w:sz w:val="32"/>
          <w:szCs w:val="32"/>
          <w:lang w:val="en-us"/>
        </w:rPr>
      </w:pPr>
      <w:r>
        <w:rPr>
          <w:rFonts w:ascii="Arial" w:hAnsi="Arial" w:eastAsia="Arial" w:cs="Arial"/>
          <w:sz w:val="32"/>
          <w:szCs w:val="32"/>
          <w:lang w:val="en-us"/>
        </w:rPr>
        <w:t xml:space="preserve">- Total Supply: </w:t>
      </w:r>
      <w:r>
        <w:rPr>
          <w:rFonts w:ascii="Arial" w:hAnsi="Arial" w:eastAsia="Arial" w:cs="Arial"/>
          <w:color w:val="000000"/>
          <w:sz w:val="28"/>
          <w:szCs w:val="28"/>
        </w:rPr>
        <w:t>760,000,000,000,000,000,000,000,000,000</w:t>
      </w:r>
      <w:r>
        <w:rPr>
          <w:rFonts w:ascii="Arial" w:hAnsi="Arial" w:eastAsia="Arial" w:cs="Arial"/>
          <w:sz w:val="28"/>
          <w:szCs w:val="28"/>
          <w:lang w:val="en-us"/>
        </w:rPr>
        <w:t xml:space="preserve"> </w:t>
      </w:r>
      <w:r>
        <w:rPr>
          <w:rFonts w:ascii="Arial" w:hAnsi="Arial" w:eastAsia="Arial" w:cs="Arial"/>
          <w:sz w:val="32"/>
          <w:szCs w:val="32"/>
          <w:lang w:val="en-us"/>
        </w:rPr>
        <w:t>TENCO</w:t>
      </w: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 Precision: 18 decimals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3.2. Token Allocation</w:t>
      </w:r>
    </w:p>
    <w:p>
      <w:pPr>
        <w:rPr>
          <w:rFonts w:ascii="Arial" w:hAnsi="Arial" w:eastAsia="Arial" w:cs="Arial"/>
          <w:sz w:val="32"/>
          <w:szCs w:val="32"/>
          <w:lang w:val="en-us"/>
        </w:rPr>
      </w:pPr>
      <w:r>
        <w:rPr>
          <w:rFonts w:ascii="Arial" w:hAnsi="Arial" w:eastAsia="Arial" w:cs="Arial"/>
          <w:sz w:val="32"/>
          <w:szCs w:val="32"/>
          <w:lang w:val="en-us"/>
        </w:rPr>
      </w:r>
    </w:p>
    <w:p>
      <w:pPr>
        <w:numPr>
          <w:ilvl w:val="0"/>
          <w:numId w:val="1"/>
        </w:numPr>
        <w:ind w:left="720" w:hanging="360"/>
        <w:rPr>
          <w:rFonts w:ascii="Arial" w:hAnsi="Arial" w:eastAsia="Arial" w:cs="Arial"/>
          <w:sz w:val="32"/>
          <w:szCs w:val="32"/>
          <w:lang w:val="en-us"/>
        </w:rPr>
      </w:pPr>
      <w:r>
        <w:rPr>
          <w:rFonts w:ascii="Arial" w:hAnsi="Arial" w:eastAsia="Arial" w:cs="Arial"/>
          <w:b/>
          <w:bCs/>
          <w:sz w:val="32"/>
          <w:szCs w:val="32"/>
          <w:lang w:val="en-us"/>
        </w:rPr>
        <w:t>50% Public Sale:</w:t>
      </w:r>
      <w:r>
        <w:rPr>
          <w:rFonts w:ascii="Arial" w:hAnsi="Arial" w:eastAsia="Arial" w:cs="Arial"/>
          <w:sz w:val="32"/>
          <w:szCs w:val="32"/>
          <w:lang w:val="en-us"/>
        </w:rPr>
        <w:t> During our initial sale, 50% of TennisCoin will be available for purchase. This sale allows us to raise the necessary funds to launch our support programs.</w:t>
      </w:r>
    </w:p>
    <w:p>
      <w:pPr>
        <w:numPr>
          <w:ilvl w:val="0"/>
          <w:numId w:val="1"/>
        </w:numPr>
        <w:ind w:left="720" w:hanging="360"/>
        <w:rPr>
          <w:rFonts w:ascii="Arial" w:hAnsi="Arial" w:eastAsia="Arial" w:cs="Arial"/>
          <w:sz w:val="32"/>
          <w:szCs w:val="32"/>
          <w:lang w:val="en-us"/>
        </w:rPr>
      </w:pPr>
      <w:r>
        <w:rPr>
          <w:rFonts w:ascii="Arial" w:hAnsi="Arial" w:eastAsia="Arial" w:cs="Arial"/>
          <w:b/>
          <w:bCs/>
          <w:sz w:val="32"/>
          <w:szCs w:val="32"/>
          <w:lang w:val="en-us"/>
        </w:rPr>
        <w:t>20% Airdrop:</w:t>
      </w:r>
      <w:r>
        <w:rPr>
          <w:rFonts w:ascii="Arial" w:hAnsi="Arial" w:eastAsia="Arial" w:cs="Arial"/>
          <w:sz w:val="32"/>
          <w:szCs w:val="32"/>
          <w:lang w:val="en-us"/>
        </w:rPr>
        <w:t> To encourage participation and build a strong community, we will conduct an airdrop of 20% of the tokens to active community members.</w:t>
      </w:r>
    </w:p>
    <w:p>
      <w:pPr>
        <w:numPr>
          <w:ilvl w:val="0"/>
          <w:numId w:val="1"/>
        </w:numPr>
        <w:ind w:left="720" w:hanging="360"/>
        <w:rPr>
          <w:rFonts w:ascii="Arial" w:hAnsi="Arial" w:eastAsia="Arial" w:cs="Arial"/>
          <w:sz w:val="32"/>
          <w:szCs w:val="32"/>
          <w:lang w:val="en-us"/>
        </w:rPr>
      </w:pPr>
      <w:r>
        <w:rPr>
          <w:rFonts w:ascii="Arial" w:hAnsi="Arial" w:eastAsia="Arial" w:cs="Arial"/>
          <w:b/>
          <w:bCs/>
          <w:sz w:val="32"/>
          <w:szCs w:val="32"/>
          <w:lang w:val="en-us"/>
        </w:rPr>
        <w:t>10% Reserved for the Team:</w:t>
      </w:r>
      <w:r>
        <w:rPr>
          <w:rFonts w:ascii="Arial" w:hAnsi="Arial" w:eastAsia="Arial" w:cs="Arial"/>
          <w:sz w:val="32"/>
          <w:szCs w:val="32"/>
          <w:lang w:val="en-us"/>
        </w:rPr>
        <w:t> 10% of the tokens will be reserved for our team members as an incentive for their continued commitment to the project's development.</w:t>
      </w:r>
    </w:p>
    <w:p>
      <w:pPr>
        <w:numPr>
          <w:ilvl w:val="0"/>
          <w:numId w:val="1"/>
        </w:numPr>
        <w:ind w:left="720" w:hanging="360"/>
        <w:rPr>
          <w:rFonts w:ascii="Arial" w:hAnsi="Arial" w:eastAsia="Arial" w:cs="Arial"/>
          <w:sz w:val="32"/>
          <w:szCs w:val="32"/>
          <w:lang w:val="en-us"/>
        </w:rPr>
      </w:pPr>
      <w:r>
        <w:rPr>
          <w:rFonts w:ascii="Arial" w:hAnsi="Arial" w:eastAsia="Arial" w:cs="Arial"/>
          <w:b/>
          <w:bCs/>
          <w:sz w:val="32"/>
          <w:szCs w:val="32"/>
          <w:lang w:val="en-us"/>
        </w:rPr>
        <w:t>20% Future Development:</w:t>
      </w:r>
      <w:r>
        <w:rPr>
          <w:rFonts w:ascii="Arial" w:hAnsi="Arial" w:eastAsia="Arial" w:cs="Arial"/>
          <w:sz w:val="32"/>
          <w:szCs w:val="32"/>
          <w:lang w:val="en-us"/>
        </w:rPr>
        <w:t> We have allocated 20% of the tokens for the future development of the platform, ensuring TennisCoin's growth and constant innovation.</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3.3. Use of Funds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 Scholarships and Training: 40%</w:t>
      </w:r>
    </w:p>
    <w:p>
      <w:pPr>
        <w:rPr>
          <w:rFonts w:ascii="Arial" w:hAnsi="Arial" w:eastAsia="Arial" w:cs="Arial"/>
          <w:sz w:val="32"/>
          <w:szCs w:val="32"/>
          <w:lang w:val="en-us"/>
        </w:rPr>
      </w:pPr>
      <w:r>
        <w:rPr>
          <w:rFonts w:ascii="Arial" w:hAnsi="Arial" w:eastAsia="Arial" w:cs="Arial"/>
          <w:sz w:val="32"/>
          <w:szCs w:val="32"/>
          <w:lang w:val="en-us"/>
        </w:rPr>
        <w:t>- Equipment Purchase and Structural Improvements: 30%</w:t>
      </w:r>
    </w:p>
    <w:p>
      <w:pPr>
        <w:rPr>
          <w:rFonts w:ascii="Arial" w:hAnsi="Arial" w:eastAsia="Arial" w:cs="Arial"/>
          <w:sz w:val="32"/>
          <w:szCs w:val="32"/>
          <w:lang w:val="en-us"/>
        </w:rPr>
      </w:pPr>
      <w:r>
        <w:rPr>
          <w:rFonts w:ascii="Arial" w:hAnsi="Arial" w:eastAsia="Arial" w:cs="Arial"/>
          <w:sz w:val="32"/>
          <w:szCs w:val="32"/>
          <w:lang w:val="en-us"/>
        </w:rPr>
        <w:t>- Platform Development and Operations: 20%</w:t>
      </w:r>
    </w:p>
    <w:p>
      <w:pPr>
        <w:rPr>
          <w:rFonts w:ascii="Arial" w:hAnsi="Arial" w:eastAsia="Arial" w:cs="Arial"/>
          <w:sz w:val="32"/>
          <w:szCs w:val="32"/>
          <w:lang w:val="en-us"/>
        </w:rPr>
      </w:pPr>
      <w:r>
        <w:rPr>
          <w:rFonts w:ascii="Arial" w:hAnsi="Arial" w:eastAsia="Arial" w:cs="Arial"/>
          <w:sz w:val="32"/>
          <w:szCs w:val="32"/>
          <w:lang w:val="en-us"/>
        </w:rPr>
        <w:t>- Marketing and Promotion: 10%</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6"/>
          <w:szCs w:val="36"/>
          <w:lang w:val="en-us"/>
        </w:rPr>
      </w:pPr>
      <w:r>
        <w:rPr>
          <w:rFonts w:ascii="Arial" w:hAnsi="Arial" w:eastAsia="Arial" w:cs="Arial"/>
          <w:sz w:val="36"/>
          <w:szCs w:val="36"/>
          <w:lang w:val="en-us"/>
        </w:rPr>
        <w:t>4. Platform and Benefits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4.1. TennisCoin Platform</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 Access to Services: TennisCoin holders can use tokens to access educational content, exclusive events, and online tennis courses.</w:t>
      </w:r>
    </w:p>
    <w:p>
      <w:pPr>
        <w:rPr>
          <w:rFonts w:ascii="Arial" w:hAnsi="Arial" w:eastAsia="Arial" w:cs="Arial"/>
          <w:sz w:val="32"/>
          <w:szCs w:val="32"/>
          <w:lang w:val="en-us"/>
        </w:rPr>
      </w:pPr>
      <w:r>
        <w:rPr>
          <w:rFonts w:ascii="Arial" w:hAnsi="Arial" w:eastAsia="Arial" w:cs="Arial"/>
          <w:sz w:val="32"/>
          <w:szCs w:val="32"/>
          <w:lang w:val="en-us"/>
        </w:rPr>
        <w:t>- Marketplace: An integrated marketplace where tokens can be exchanged for tennis-related products and services.</w:t>
      </w:r>
    </w:p>
    <w:p>
      <w:pPr>
        <w:rPr>
          <w:rFonts w:ascii="Arial" w:hAnsi="Arial" w:eastAsia="Arial" w:cs="Arial"/>
          <w:sz w:val="32"/>
          <w:szCs w:val="32"/>
          <w:lang w:val="en-us"/>
        </w:rPr>
      </w:pPr>
      <w:r>
        <w:rPr>
          <w:rFonts w:ascii="Arial" w:hAnsi="Arial" w:eastAsia="Arial" w:cs="Arial"/>
          <w:sz w:val="32"/>
          <w:szCs w:val="32"/>
          <w:lang w:val="en-us"/>
        </w:rPr>
        <w:t>- Training Programs: Support and management of training programs for young talents, in collaboration with clubs and professional coaches.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4.2. Benefits for Token Holders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 Rewards and Incentives: Participation in special events, early access to new features, and discounts on equipment and courses.</w:t>
      </w:r>
    </w:p>
    <w:p>
      <w:pPr>
        <w:rPr>
          <w:rFonts w:ascii="Arial" w:hAnsi="Arial" w:eastAsia="Arial" w:cs="Arial"/>
          <w:sz w:val="32"/>
          <w:szCs w:val="32"/>
          <w:lang w:val="en-us"/>
        </w:rPr>
      </w:pPr>
      <w:r>
        <w:rPr>
          <w:rFonts w:ascii="Arial" w:hAnsi="Arial" w:eastAsia="Arial" w:cs="Arial"/>
          <w:sz w:val="32"/>
          <w:szCs w:val="32"/>
          <w:lang w:val="en-us"/>
        </w:rPr>
        <w:t>- Reputation System: Earn badges and recognition for supporting the cause, with networking opportunities with athletes and industry experts.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6"/>
          <w:szCs w:val="36"/>
          <w:lang w:val="en-us"/>
        </w:rPr>
      </w:pPr>
      <w:r>
        <w:rPr>
          <w:rFonts w:ascii="Arial" w:hAnsi="Arial" w:eastAsia="Arial" w:cs="Arial"/>
          <w:sz w:val="36"/>
          <w:szCs w:val="36"/>
          <w:lang w:val="en-us"/>
        </w:rPr>
        <w:t>5. Roadmap</w:t>
      </w:r>
    </w:p>
    <w:p>
      <w:pPr>
        <w:rPr>
          <w:rFonts w:ascii="Arial" w:hAnsi="Arial" w:eastAsia="Arial" w:cs="Arial"/>
          <w:sz w:val="32"/>
          <w:szCs w:val="32"/>
          <w:lang w:val="en-us"/>
        </w:rPr>
      </w:pPr>
      <w:r>
        <w:rPr>
          <w:rFonts w:ascii="Arial" w:hAnsi="Arial" w:eastAsia="Arial" w:cs="Arial"/>
          <w:sz w:val="32"/>
          <w:szCs w:val="32"/>
          <w:lang w:val="en-us"/>
        </w:rPr>
      </w:r>
    </w:p>
    <w:p>
      <w:pPr>
        <w:rPr>
          <w:rFonts w:ascii="Times New Roman" w:hAnsi="Times New Roman"/>
          <w:sz w:val="20"/>
        </w:rPr>
      </w:pPr>
      <w:r>
        <w:rPr>
          <w:rFonts w:ascii="Arial" w:hAnsi="Arial" w:eastAsia="Arial" w:cs="Arial"/>
          <w:sz w:val="32"/>
          <w:szCs w:val="32"/>
          <w:lang w:val="en-us"/>
        </w:rPr>
        <w:t xml:space="preserve">Phase 1: </w:t>
      </w:r>
      <w:r>
        <w:rPr>
          <w:rFonts w:ascii="Arial" w:hAnsi="Arial" w:eastAsia="Arial" w:cs="Arial"/>
          <w:color w:val="000000"/>
          <w:sz w:val="32"/>
          <w:szCs w:val="32"/>
        </w:rPr>
        <w:t xml:space="preserve">Creation of the token and the infrastructure for ensuring the token's long-term sustainability and stability in </w:t>
      </w:r>
      <w:r>
        <w:rPr>
          <w:rFonts w:ascii="Arial" w:hAnsi="Arial"/>
          <w:color w:val="000000"/>
          <w:sz w:val="32"/>
          <w:szCs w:val="32"/>
        </w:rPr>
        <w:t>Q4 2024.</w:t>
      </w:r>
      <w:r>
        <w:rPr>
          <w:rFonts w:ascii="Times New Roman" w:hAnsi="Times New Roman"/>
          <w:sz w:val="20"/>
        </w:rPr>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 Market research, whitepaper development, and platform preparation.</w:t>
      </w:r>
    </w:p>
    <w:p>
      <w:pPr>
        <w:rPr>
          <w:rFonts w:ascii="Arial" w:hAnsi="Arial" w:eastAsia="Arial" w:cs="Arial"/>
          <w:sz w:val="32"/>
          <w:szCs w:val="32"/>
          <w:lang w:val="en-us"/>
        </w:rPr>
      </w:pPr>
      <w:r>
        <w:rPr>
          <w:rFonts w:ascii="Arial" w:hAnsi="Arial" w:eastAsia="Arial" w:cs="Arial"/>
          <w:sz w:val="32"/>
          <w:szCs w:val="32"/>
          <w:lang w:val="en-us"/>
        </w:rPr>
        <w:t>- Creation and audit of smart contracts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color w:val="000000"/>
          <w:sz w:val="32"/>
          <w:szCs w:val="32"/>
        </w:rPr>
      </w:pPr>
      <w:r>
        <w:rPr>
          <w:rFonts w:ascii="Arial" w:hAnsi="Arial" w:eastAsia="Arial" w:cs="Arial"/>
          <w:sz w:val="32"/>
          <w:szCs w:val="32"/>
          <w:lang w:val="en-us"/>
        </w:rPr>
        <w:t xml:space="preserve">Phase 2: </w:t>
      </w:r>
      <w:r>
        <w:rPr>
          <w:rFonts w:ascii="Arial" w:hAnsi="Arial"/>
          <w:color w:val="000000"/>
          <w:sz w:val="32"/>
          <w:szCs w:val="32"/>
        </w:rPr>
        <w:t>Sale of 50% of TennisCoin in Q1 2025.</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color w:val="000000"/>
          <w:sz w:val="17"/>
        </w:rPr>
      </w:pPr>
      <w:r>
        <w:rPr>
          <w:rFonts w:ascii="Arial" w:hAnsi="Arial" w:eastAsia="Arial" w:cs="Arial"/>
          <w:sz w:val="32"/>
          <w:szCs w:val="32"/>
          <w:lang w:val="en-us"/>
        </w:rPr>
        <w:t xml:space="preserve">Phase 3: </w:t>
      </w:r>
      <w:r>
        <w:rPr>
          <w:rFonts w:ascii="Arial" w:hAnsi="Arial"/>
          <w:color w:val="000000"/>
          <w:sz w:val="32"/>
          <w:szCs w:val="32"/>
        </w:rPr>
        <w:t>Airdrop of 20% in Q2 2025</w:t>
      </w:r>
      <w:r>
        <w:rPr>
          <w:rFonts w:ascii="Arial" w:hAnsi="Arial"/>
          <w:color w:val="000000"/>
          <w:sz w:val="17"/>
        </w:rPr>
        <w:t>.</w:t>
      </w:r>
    </w:p>
    <w:p>
      <w:pPr>
        <w:rPr>
          <w:rFonts w:ascii="Times New Roman" w:hAnsi="Times New Roman"/>
          <w:sz w:val="20"/>
        </w:rPr>
      </w:pPr>
      <w:r>
        <w:rPr>
          <w:rFonts w:ascii="Times New Roman" w:hAnsi="Times New Roman"/>
          <w:sz w:val="20"/>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sz w:val="32"/>
          <w:szCs w:val="32"/>
        </w:rPr>
      </w:pPr>
      <w:r>
        <w:rPr>
          <w:rFonts w:ascii="Arial" w:hAnsi="Arial"/>
          <w:color w:val="000000"/>
          <w:sz w:val="32"/>
          <w:szCs w:val="32"/>
        </w:rPr>
        <w:t>Phase 4: Collaborations with international federations and various clubs in multiple countries to identify talented youth with limited opportunities in Q2+Q3 2025.</w:t>
      </w:r>
      <w:r>
        <w:rPr>
          <w:rFonts w:ascii="Times New Roman" w:hAnsi="Times New Roman"/>
          <w:sz w:val="32"/>
          <w:szCs w:val="32"/>
        </w:rPr>
      </w:r>
    </w:p>
    <w:p>
      <w:pPr>
        <w:rPr>
          <w:rFonts w:ascii="Arial" w:hAnsi="Arial" w:eastAsia="Arial" w:cs="Arial"/>
          <w:sz w:val="32"/>
          <w:szCs w:val="32"/>
          <w:lang w:val="en-us"/>
        </w:rPr>
      </w:pPr>
      <w:r>
        <w:rPr>
          <w:rFonts w:ascii="Arial" w:hAnsi="Arial" w:eastAsia="Arial" w:cs="Arial"/>
          <w:sz w:val="32"/>
          <w:szCs w:val="32"/>
          <w:lang w:val="en-us"/>
        </w:rPr>
        <w:t>- Launch of new features and services, evaluation and improvement of charity programs.</w:t>
      </w:r>
    </w:p>
    <w:p>
      <w:pPr>
        <w:rPr>
          <w:rFonts w:ascii="Arial" w:hAnsi="Arial" w:eastAsia="Arial" w:cs="Arial"/>
          <w:sz w:val="32"/>
          <w:szCs w:val="32"/>
          <w:lang w:val="en-us"/>
        </w:rPr>
      </w:pPr>
      <w:r>
        <w:rPr>
          <w:rFonts w:ascii="Arial" w:hAnsi="Arial" w:eastAsia="Arial" w:cs="Arial"/>
          <w:sz w:val="32"/>
          <w:szCs w:val="32"/>
          <w:lang w:val="en-us"/>
        </w:rPr>
      </w:r>
    </w:p>
    <w:p>
      <w:pPr>
        <w:rPr>
          <w:rFonts w:ascii="Times New Roman" w:hAnsi="Times New Roman"/>
          <w:sz w:val="32"/>
          <w:szCs w:val="32"/>
        </w:rPr>
      </w:pPr>
      <w:r>
        <w:rPr>
          <w:rFonts w:ascii="Arial" w:hAnsi="Arial" w:eastAsia="Arial" w:cs="Arial"/>
          <w:sz w:val="32"/>
          <w:szCs w:val="32"/>
          <w:lang w:val="en-us"/>
        </w:rPr>
        <w:t xml:space="preserve">Phase 5: </w:t>
      </w:r>
      <w:r>
        <w:rPr>
          <w:rFonts w:ascii="Arial" w:hAnsi="Arial"/>
          <w:color w:val="000000"/>
          <w:sz w:val="32"/>
          <w:szCs w:val="32"/>
        </w:rPr>
        <w:t>Grant scholarships to support tennis practice and participation in national and international tournaments.</w:t>
      </w:r>
      <w:r>
        <w:rPr>
          <w:rFonts w:ascii="Times New Roman" w:hAnsi="Times New Roman"/>
          <w:sz w:val="32"/>
          <w:szCs w:val="32"/>
        </w:rPr>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6"/>
          <w:szCs w:val="36"/>
          <w:lang w:val="en-us"/>
        </w:rPr>
      </w:pPr>
      <w:r>
        <w:rPr>
          <w:rFonts w:ascii="Arial" w:hAnsi="Arial" w:eastAsia="Arial" w:cs="Arial"/>
          <w:sz w:val="36"/>
          <w:szCs w:val="36"/>
          <w:lang w:val="en-us"/>
        </w:rPr>
        <w:t>6. Team</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6.1. Founders and Team</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 xml:space="preserve">- </w:t>
      </w:r>
      <w:r>
        <w:rPr>
          <w:rFonts w:ascii="Arial" w:hAnsi="Arial" w:eastAsia="Arial" w:cs="Arial"/>
          <w:color w:val="000000"/>
          <w:sz w:val="32"/>
          <w:szCs w:val="32"/>
        </w:rPr>
        <w:t>Péter Vargahegy</w:t>
      </w:r>
      <w:r>
        <w:rPr>
          <w:rFonts w:ascii="Arial" w:hAnsi="Arial" w:eastAsia="Arial" w:cs="Arial"/>
          <w:sz w:val="32"/>
          <w:szCs w:val="32"/>
          <w:lang w:val="en-us"/>
        </w:rPr>
        <w:t>: Blockchain expert and social entrepreneur with experience in fundraising and managing philanthropic projects.</w:t>
      </w:r>
    </w:p>
    <w:p>
      <w:pPr>
        <w:rPr>
          <w:rFonts w:ascii="Arial" w:hAnsi="Arial" w:eastAsia="Arial" w:cs="Arial"/>
          <w:sz w:val="32"/>
          <w:szCs w:val="32"/>
          <w:lang w:val="en-us"/>
        </w:rPr>
      </w:pPr>
      <w:r>
        <w:rPr>
          <w:rFonts w:ascii="Arial" w:hAnsi="Arial" w:eastAsia="Arial" w:cs="Arial"/>
          <w:sz w:val="32"/>
          <w:szCs w:val="32"/>
          <w:lang w:val="en-us"/>
        </w:rPr>
        <w:t>- Mihail Adrian Nicolaescu: Tennis professional and coach with years of experience in training young athletes.</w:t>
      </w:r>
    </w:p>
    <w:p>
      <w:pPr>
        <w:rPr>
          <w:rFonts w:ascii="Arial" w:hAnsi="Arial" w:eastAsia="Arial" w:cs="Arial"/>
          <w:sz w:val="32"/>
          <w:szCs w:val="32"/>
          <w:lang w:val="en-us"/>
        </w:rPr>
      </w:pPr>
      <w:r>
        <w:rPr>
          <w:rFonts w:ascii="Arial" w:hAnsi="Arial" w:eastAsia="Arial" w:cs="Arial"/>
          <w:sz w:val="32"/>
          <w:szCs w:val="32"/>
          <w:lang w:val="en-us"/>
        </w:rPr>
        <w:t>- X: Marketing and communications specialist with a background in the sports and technology sectors.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6.2. Advisors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 X: Legal expert in cryptocurrency regulation.</w:t>
      </w:r>
    </w:p>
    <w:p>
      <w:pPr>
        <w:rPr>
          <w:rFonts w:ascii="Arial" w:hAnsi="Arial" w:eastAsia="Arial" w:cs="Arial"/>
          <w:sz w:val="32"/>
          <w:szCs w:val="32"/>
          <w:lang w:val="en-us"/>
        </w:rPr>
      </w:pPr>
      <w:r>
        <w:rPr>
          <w:rFonts w:ascii="Arial" w:hAnsi="Arial" w:eastAsia="Arial" w:cs="Arial"/>
          <w:sz w:val="32"/>
          <w:szCs w:val="32"/>
          <w:lang w:val="en-us"/>
        </w:rPr>
        <w:t>- X: Blockchain development and security specialist.</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6"/>
          <w:szCs w:val="36"/>
          <w:lang w:val="en-us"/>
        </w:rPr>
      </w:pPr>
      <w:r>
        <w:rPr>
          <w:rFonts w:ascii="Arial" w:hAnsi="Arial" w:eastAsia="Arial" w:cs="Arial"/>
          <w:sz w:val="36"/>
          <w:szCs w:val="36"/>
          <w:lang w:val="en-us"/>
        </w:rPr>
        <w:t>7. Security and Compliance</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7.1. Security</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 Audit and Testing: Smart contracts have undergone rigorous security audits to ensure integrity and investor protection.</w:t>
      </w:r>
    </w:p>
    <w:p>
      <w:pPr>
        <w:rPr>
          <w:rFonts w:ascii="Arial" w:hAnsi="Arial" w:eastAsia="Arial" w:cs="Arial"/>
          <w:sz w:val="32"/>
          <w:szCs w:val="32"/>
          <w:lang w:val="en-us"/>
        </w:rPr>
      </w:pPr>
      <w:r>
        <w:rPr>
          <w:rFonts w:ascii="Arial" w:hAnsi="Arial" w:eastAsia="Arial" w:cs="Arial"/>
          <w:sz w:val="32"/>
          <w:szCs w:val="32"/>
          <w:lang w:val="en-us"/>
        </w:rPr>
        <w:t>- Data Protection: Implementation of personal data protection measures and compliance with GDPR.</w:t>
      </w:r>
    </w:p>
    <w:p>
      <w:pPr>
        <w:rPr>
          <w:rFonts w:ascii="Arial" w:hAnsi="Arial" w:eastAsia="Arial" w:cs="Arial"/>
          <w:sz w:val="32"/>
          <w:szCs w:val="32"/>
          <w:lang w:val="en-us"/>
        </w:rPr>
      </w:pPr>
      <w:r>
        <w:rPr>
          <w:rFonts w:ascii="Arial" w:hAnsi="Arial" w:eastAsia="Arial" w:cs="Arial"/>
          <w:sz w:val="32"/>
          <w:szCs w:val="32"/>
          <w:lang w:val="en-us"/>
        </w:rPr>
        <w:t>7.2. Compliance</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 Regulation: Adherence to local and international regulations concerning cryptocurrencies and initial coin offerings.</w:t>
      </w:r>
    </w:p>
    <w:p>
      <w:pPr>
        <w:rPr>
          <w:rFonts w:ascii="Arial" w:hAnsi="Arial" w:eastAsia="Arial" w:cs="Arial"/>
          <w:sz w:val="32"/>
          <w:szCs w:val="32"/>
          <w:lang w:val="en-us"/>
        </w:rPr>
      </w:pPr>
      <w:r>
        <w:rPr>
          <w:rFonts w:ascii="Arial" w:hAnsi="Arial" w:eastAsia="Arial" w:cs="Arial"/>
          <w:sz w:val="32"/>
          <w:szCs w:val="32"/>
          <w:lang w:val="en-us"/>
        </w:rPr>
        <w:t>- Identity Verification: KYC processes to ensure all investors comply with anti-money laundering regulations.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6"/>
          <w:szCs w:val="36"/>
          <w:lang w:val="en-us"/>
        </w:rPr>
      </w:pPr>
      <w:r>
        <w:rPr>
          <w:rFonts w:ascii="Arial" w:hAnsi="Arial" w:eastAsia="Arial" w:cs="Arial"/>
          <w:sz w:val="36"/>
          <w:szCs w:val="36"/>
          <w:lang w:val="en-us"/>
        </w:rPr>
        <w:t>8. Contacts and Support</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8.1. Contacts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 Website: https://tenniscoin.eu</w:t>
      </w:r>
    </w:p>
    <w:p>
      <w:pPr>
        <w:rPr>
          <w:rFonts w:ascii="Arial" w:hAnsi="Arial" w:eastAsia="Arial" w:cs="Arial"/>
          <w:sz w:val="32"/>
          <w:szCs w:val="32"/>
          <w:lang w:val="en-us"/>
        </w:rPr>
      </w:pPr>
      <w:r>
        <w:rPr>
          <w:rFonts w:ascii="Arial" w:hAnsi="Arial" w:eastAsia="Arial" w:cs="Arial"/>
          <w:sz w:val="32"/>
          <w:szCs w:val="32"/>
          <w:lang w:val="en-us"/>
        </w:rPr>
        <w:t>- Email: tenniscoin2025@yahoo.com</w:t>
      </w:r>
    </w:p>
    <w:p>
      <w:pPr>
        <w:rPr>
          <w:rFonts w:ascii="Arial" w:hAnsi="Arial" w:eastAsia="Arial" w:cs="Arial"/>
          <w:sz w:val="32"/>
          <w:szCs w:val="32"/>
          <w:lang w:val="en-us"/>
        </w:rPr>
      </w:pPr>
      <w:r>
        <w:rPr>
          <w:rFonts w:ascii="Arial" w:hAnsi="Arial" w:eastAsia="Arial" w:cs="Arial"/>
          <w:sz w:val="32"/>
          <w:szCs w:val="32"/>
          <w:lang w:val="en-us"/>
        </w:rPr>
        <w:t>- **Telegram:** [TennisCoin Community](https://t.me/tenniscoin)</w:t>
      </w:r>
    </w:p>
    <w:p>
      <w:pPr>
        <w:rPr>
          <w:rFonts w:ascii="Arial" w:hAnsi="Arial" w:eastAsia="Arial" w:cs="Arial"/>
          <w:sz w:val="32"/>
          <w:szCs w:val="32"/>
          <w:lang w:val="en-us"/>
        </w:rPr>
      </w:pPr>
      <w:r>
        <w:rPr>
          <w:rFonts w:ascii="Arial" w:hAnsi="Arial" w:eastAsia="Arial" w:cs="Arial"/>
          <w:sz w:val="32"/>
          <w:szCs w:val="32"/>
          <w:lang w:val="en-us"/>
        </w:rPr>
        <w:t>- X ( exTwitter): [@TennisCoin](https://twitter.com/tenniscoin)</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6"/>
          <w:szCs w:val="36"/>
          <w:lang w:val="en-us"/>
        </w:rPr>
      </w:pPr>
      <w:r>
        <w:rPr>
          <w:rFonts w:ascii="Arial" w:hAnsi="Arial" w:eastAsia="Arial" w:cs="Arial"/>
          <w:sz w:val="36"/>
          <w:szCs w:val="36"/>
          <w:lang w:val="en-us"/>
        </w:rPr>
        <w:t>8.2. Support</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 FAQ and Documentation: Available on the website.</w:t>
      </w:r>
    </w:p>
    <w:p>
      <w:pPr>
        <w:rPr>
          <w:rFonts w:ascii="Arial" w:hAnsi="Arial" w:eastAsia="Arial" w:cs="Arial"/>
          <w:sz w:val="32"/>
          <w:szCs w:val="32"/>
          <w:lang w:val="en-us"/>
        </w:rPr>
      </w:pPr>
      <w:r>
        <w:rPr>
          <w:rFonts w:ascii="Arial" w:hAnsi="Arial" w:eastAsia="Arial" w:cs="Arial"/>
          <w:sz w:val="32"/>
          <w:szCs w:val="32"/>
          <w:lang w:val="en-us"/>
        </w:rPr>
        <w:t>- Customer Support: Assistance via email and social media channels for answering questions and providing support.</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6"/>
          <w:szCs w:val="36"/>
          <w:lang w:val="en-us"/>
        </w:rPr>
      </w:pPr>
      <w:r>
        <w:rPr>
          <w:rFonts w:ascii="Arial" w:hAnsi="Arial" w:eastAsia="Arial" w:cs="Arial"/>
          <w:sz w:val="36"/>
          <w:szCs w:val="36"/>
          <w:lang w:val="en-us"/>
        </w:rPr>
        <w:t>Conclusion</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 xml:space="preserve">TennisCoin represents a unique opportunity to transform how children and young people access and participate in tennis. With the support of our community and investors, we aim to make a significant difference in the world of youth tennis, making the sport accessible to all and contributing to its global development. </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Join us in our mission to support young athletes and make a difference through TennisCoin.</w:t>
      </w:r>
    </w:p>
    <w:sectPr>
      <w:footnotePr>
        <w:pos w:val="pageBottom"/>
        <w:numFmt w:val="decimal"/>
        <w:numStart w:val="1"/>
        <w:numRestart w:val="continuous"/>
      </w:footnotePr>
      <w:endnotePr>
        <w:pos w:val="docEnd"/>
        <w:numFmt w:val="lowerRoman"/>
        <w:numStart w:val="1"/>
        <w:numRestart w:val="continuous"/>
      </w:endnotePr>
      <w:type w:val="nextPage"/>
      <w:pgSz w:h="16838" w:w="11906"/>
      <w:pgMar w:left="1134" w:top="1417" w:right="1134" w:bottom="1134"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Arial">
    <w:panose1 w:val="020B0604020202020204"/>
    <w:charset w:val="00"/>
    <w:family w:val="swiss"/>
    <w:pitch w:val="default"/>
  </w:font>
  <w:font w:name="Aptos">
    <w:panose1 w:val="020B0604020202020204"/>
    <w:charset w:val="00"/>
    <w:family w:val="swiss"/>
    <w:pitch w:val="default"/>
  </w:font>
  <w:font w:name="Aptos Display">
    <w:panose1 w:val="020B060402020202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Elenco numerato 1"/>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0"/>
  <w:captions>
    <w:caption w:name="Tabella" w:pos="below" w:numFmt="decimal"/>
    <w:caption w:name="Figura" w:pos="below" w:numFmt="decimal"/>
    <w:caption w:name="Immagin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uppressSpBfAfterPgBrk w:val="1"/>
    <w:compatSetting w:name="compatibilityMode" w:uri="http://schemas.microsoft.com/office/word" w:val="15"/>
  </w:compat>
  <w:shapeDefaults>
    <o:shapedefaults v:ext="edit" spidmax="1026"/>
    <o:shapelayout v:ext="edit">
      <o:rules v:ext="edit"/>
    </o:shapelayout>
  </w:shapeDefaults>
  <w:tmPrefOne w:val="17"/>
  <w:tmPrefTwo w:val="1"/>
  <w:tmFmtPref w:val="55090283"/>
  <w:tmCommentsPr>
    <w:tmCommentsPlace w:val="0"/>
    <w:tmCommentsWidth w:val="3119"/>
    <w:tmCommentsColor w:val="-1"/>
  </w:tmCommentsPr>
  <w:tmReviewPr>
    <w:tmReviewEnabled w:val="0"/>
    <w:tmReviewShow w:val="1"/>
    <w:tmReviewPrint w:val="0"/>
    <w:tmRevisionNum w:val="6"/>
    <w:tmReviewMarkIns w:val="4"/>
    <w:tmReviewColorIns w:val="-1"/>
    <w:tmReviewMarkDel w:val="7"/>
    <w:tmReviewColorDel w:val="-1"/>
    <w:tmReviewMarkFmt w:val="7"/>
    <w:tmReviewColorFmt w:val="-1"/>
    <w:tmReviewMarkLn w:val="1"/>
    <w:tmReviewColorLn w:val="0"/>
    <w:tmReviewToolTip w:val="1"/>
  </w:tmReviewPr>
  <w:tmLastPos>
    <w:tmLastPosPage w:val="5"/>
    <w:tmLastPosSelect w:val="0"/>
    <w:tmLastPosFrameIdx w:val="0"/>
    <w:tmLastPosCaret>
      <w:tmLastPosPgfIdx w:val="93"/>
      <w:tmLastPosIdx w:val="0"/>
    </w:tmLastPosCaret>
    <w:tmLastPosAnchor>
      <w:tmLastPosPgfIdx w:val="0"/>
      <w:tmLastPosIdx w:val="0"/>
    </w:tmLastPosAnchor>
    <w:tmLastPosTblRect w:left="0" w:top="0" w:right="0" w:bottom="0"/>
  </w:tmLastPos>
  <w:tmAppRevision w:date="1726432171" w:val="1218" w:fileVer="342" w:fileVerOS="4"/>
  <w:guidesAndGrid showGuides="1" lockGuides="0" snapToGuides="1" snapToPageMargins="0" tolerance="8" gridDistanceHorizontal="283" gridDistanceVertical="283" showGrid="0" snapToGrid="0"/>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E:\TennisCoin\whitepaper_en.pdf"/>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ptos" w:hAnsi="Aptos" w:eastAsia="Aptos" w:cs="Aptos"/>
        <w:kern w:val="1"/>
        <w:sz w:val="24"/>
        <w:szCs w:val="24"/>
        <w:lang w:val="it-it" w:eastAsia="ja-jp" w:bidi="ar-sa"/>
      </w:rPr>
    </w:rPrDefault>
    <w:pPrDefault>
      <w:pPr>
        <w:spacing w:after="160" w:line="278"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360" w:after="80"/>
      <w:keepNext/>
      <w:outlineLvl w:val="0"/>
      <w:keepLines/>
    </w:pPr>
    <w:rPr>
      <w:rFonts w:ascii="Aptos Display" w:hAnsi="Aptos Display" w:eastAsia="Aptos Display" w:cs="Aptos Display"/>
      <w:color w:val="0f4761"/>
      <w:sz w:val="40"/>
      <w:szCs w:val="40"/>
    </w:rPr>
  </w:style>
  <w:style w:type="paragraph" w:styleId="para2">
    <w:name w:val="heading 2"/>
    <w:qFormat/>
    <w:basedOn w:val="para0"/>
    <w:next w:val="para0"/>
    <w:pPr>
      <w:spacing w:before="160" w:after="80"/>
      <w:keepNext/>
      <w:outlineLvl w:val="1"/>
      <w:keepLines/>
    </w:pPr>
    <w:rPr>
      <w:rFonts w:ascii="Aptos Display" w:hAnsi="Aptos Display" w:eastAsia="Aptos Display" w:cs="Aptos Display"/>
      <w:color w:val="0f4761"/>
      <w:sz w:val="32"/>
      <w:szCs w:val="32"/>
    </w:rPr>
  </w:style>
  <w:style w:type="paragraph" w:styleId="para3">
    <w:name w:val="heading 3"/>
    <w:qFormat/>
    <w:basedOn w:val="para0"/>
    <w:next w:val="para0"/>
    <w:pPr>
      <w:spacing w:before="160" w:after="80"/>
      <w:keepNext/>
      <w:outlineLvl w:val="2"/>
      <w:keepLines/>
    </w:pPr>
    <w:rPr>
      <w:rFonts w:eastAsia="Aptos Display" w:cs="Aptos Display"/>
      <w:color w:val="0f4761"/>
      <w:sz w:val="28"/>
      <w:szCs w:val="28"/>
    </w:rPr>
  </w:style>
  <w:style w:type="paragraph" w:styleId="para4">
    <w:name w:val="heading 4"/>
    <w:qFormat/>
    <w:basedOn w:val="para0"/>
    <w:next w:val="para0"/>
    <w:pPr>
      <w:spacing w:before="80" w:after="40"/>
      <w:keepNext/>
      <w:outlineLvl w:val="3"/>
      <w:keepLines/>
    </w:pPr>
    <w:rPr>
      <w:rFonts w:eastAsia="Aptos Display" w:cs="Aptos Display"/>
      <w:i/>
      <w:iCs/>
      <w:color w:val="0f4761"/>
    </w:rPr>
  </w:style>
  <w:style w:type="paragraph" w:styleId="para5">
    <w:name w:val="heading 5"/>
    <w:qFormat/>
    <w:basedOn w:val="para0"/>
    <w:next w:val="para0"/>
    <w:pPr>
      <w:spacing w:before="80" w:after="40"/>
      <w:keepNext/>
      <w:outlineLvl w:val="4"/>
      <w:keepLines/>
    </w:pPr>
    <w:rPr>
      <w:rFonts w:eastAsia="Aptos Display" w:cs="Aptos Display"/>
      <w:color w:val="0f4761"/>
    </w:rPr>
  </w:style>
  <w:style w:type="paragraph" w:styleId="para6">
    <w:name w:val="heading 6"/>
    <w:qFormat/>
    <w:basedOn w:val="para0"/>
    <w:next w:val="para0"/>
    <w:pPr>
      <w:spacing w:before="40" w:after="0"/>
      <w:keepNext/>
      <w:outlineLvl w:val="5"/>
      <w:keepLines/>
    </w:pPr>
    <w:rPr>
      <w:rFonts w:eastAsia="Aptos Display" w:cs="Aptos Display"/>
      <w:i/>
      <w:iCs/>
      <w:color w:val="595959"/>
    </w:rPr>
  </w:style>
  <w:style w:type="paragraph" w:styleId="para7">
    <w:name w:val="heading 7"/>
    <w:qFormat/>
    <w:basedOn w:val="para0"/>
    <w:next w:val="para0"/>
    <w:pPr>
      <w:spacing w:before="40" w:after="0"/>
      <w:keepNext/>
      <w:outlineLvl w:val="6"/>
      <w:keepLines/>
    </w:pPr>
    <w:rPr>
      <w:rFonts w:eastAsia="Aptos Display" w:cs="Aptos Display"/>
      <w:color w:val="595959"/>
    </w:rPr>
  </w:style>
  <w:style w:type="paragraph" w:styleId="para8">
    <w:name w:val="heading 8"/>
    <w:qFormat/>
    <w:basedOn w:val="para0"/>
    <w:next w:val="para0"/>
    <w:pPr>
      <w:spacing w:after="0"/>
      <w:keepNext/>
      <w:outlineLvl w:val="7"/>
      <w:keepLines/>
    </w:pPr>
    <w:rPr>
      <w:rFonts w:eastAsia="Aptos Display" w:cs="Aptos Display"/>
      <w:i/>
      <w:iCs/>
      <w:color w:val="272727"/>
    </w:rPr>
  </w:style>
  <w:style w:type="paragraph" w:styleId="para9">
    <w:name w:val="heading 9"/>
    <w:qFormat/>
    <w:basedOn w:val="para0"/>
    <w:next w:val="para0"/>
    <w:pPr>
      <w:spacing w:after="0"/>
      <w:keepNext/>
      <w:outlineLvl w:val="8"/>
      <w:keepLines/>
    </w:pPr>
    <w:rPr>
      <w:rFonts w:eastAsia="Aptos Display" w:cs="Aptos Display"/>
      <w:color w:val="272727"/>
    </w:rPr>
  </w:style>
  <w:style w:type="paragraph" w:styleId="para10">
    <w:name w:val="Title"/>
    <w:qFormat/>
    <w:basedOn w:val="para0"/>
    <w:next w:val="para0"/>
    <w:pPr>
      <w:spacing w:after="80" w:line="240" w:lineRule="auto"/>
      <w:contextualSpacing/>
    </w:pPr>
    <w:rPr>
      <w:rFonts w:ascii="Aptos Display" w:hAnsi="Aptos Display" w:eastAsia="Aptos Display" w:cs="Aptos Display"/>
      <w:spacing w:val="-10" w:percent="96"/>
      <w:sz w:val="56"/>
      <w:szCs w:val="56"/>
    </w:rPr>
  </w:style>
  <w:style w:type="paragraph" w:styleId="para11">
    <w:name w:val="Subtitle"/>
    <w:qFormat/>
    <w:basedOn w:val="para0"/>
    <w:next w:val="para0"/>
    <w:rPr>
      <w:rFonts w:eastAsia="Aptos Display" w:cs="Aptos Display"/>
      <w:color w:val="595959"/>
      <w:spacing w:val="16" w:percent="113"/>
      <w:sz w:val="28"/>
      <w:szCs w:val="28"/>
    </w:rPr>
  </w:style>
  <w:style w:type="paragraph" w:styleId="para12">
    <w:name w:val="Quote"/>
    <w:qFormat/>
    <w:basedOn w:val="para0"/>
    <w:next w:val="para0"/>
    <w:pPr>
      <w:spacing w:before="160"/>
      <w:jc w:val="center"/>
    </w:pPr>
    <w:rPr>
      <w:i/>
      <w:iCs/>
      <w:color w:val="404040"/>
    </w:rPr>
  </w:style>
  <w:style w:type="paragraph" w:styleId="para13">
    <w:name w:val="List Paragraph"/>
    <w:qFormat/>
    <w:basedOn w:val="para0"/>
    <w:pPr>
      <w:ind w:left="720"/>
      <w:contextualSpacing/>
    </w:pPr>
  </w:style>
  <w:style w:type="paragraph" w:styleId="para14">
    <w:name w:val="Intense Quote"/>
    <w:qFormat/>
    <w:basedOn w:val="para0"/>
    <w:next w:val="para0"/>
    <w:pPr>
      <w:ind w:left="864" w:right="864"/>
      <w:spacing w:before="360" w:after="360"/>
      <w:jc w:val="center"/>
      <w:pBdr>
        <w:top w:val="single" w:sz="4" w:space="10" w:color="0F4761" tmln="10, 20, 20, 0, 200"/>
        <w:left w:val="nil" w:sz="0" w:space="3" w:color="000000" tmln="20, 20, 20, 0, 60"/>
        <w:bottom w:val="single" w:sz="4" w:space="10" w:color="0F4761" tmln="10, 20, 20, 0, 200"/>
        <w:right w:val="nil" w:sz="0" w:space="3" w:color="000000" tmln="20, 20, 20, 0, 60"/>
        <w:between w:val="nil" w:sz="0" w:space="0" w:color="000000" tmln="20, 20, 20, 0, 0"/>
      </w:pBdr>
      <w:shd w:val="none"/>
    </w:pPr>
    <w:rPr>
      <w:i/>
      <w:iCs/>
      <w:color w:val="0f4761"/>
    </w:rPr>
  </w:style>
  <w:style w:type="paragraph" w:styleId="para15">
    <w:name w:val="Header"/>
    <w:qFormat/>
    <w:basedOn w:val="para0"/>
    <w:pPr>
      <w:spacing w:after="0" w:line="240" w:lineRule="auto"/>
      <w:tabs defTabSz="708">
        <w:tab w:val="center" w:pos="4819" w:leader="none"/>
        <w:tab w:val="right" w:pos="9638" w:leader="none"/>
      </w:tabs>
    </w:pPr>
  </w:style>
  <w:style w:type="paragraph" w:styleId="para16">
    <w:name w:val="Footer"/>
    <w:qFormat/>
    <w:basedOn w:val="para0"/>
    <w:pPr>
      <w:spacing w:after="0" w:line="240" w:lineRule="auto"/>
      <w:tabs defTabSz="708">
        <w:tab w:val="center" w:pos="4819" w:leader="none"/>
        <w:tab w:val="right" w:pos="9638" w:leader="none"/>
      </w:tabs>
    </w:pPr>
  </w:style>
  <w:style w:type="character" w:styleId="char0" w:default="1">
    <w:name w:val="Default Paragraph Font"/>
  </w:style>
  <w:style w:type="character" w:styleId="char1" w:customStyle="1">
    <w:name w:val="Titolo 1 Carattere"/>
    <w:basedOn w:val="char0"/>
    <w:rPr>
      <w:rFonts w:ascii="Aptos Display" w:hAnsi="Aptos Display" w:eastAsia="Aptos Display" w:cs="Aptos Display"/>
      <w:color w:val="0f4761"/>
      <w:sz w:val="40"/>
      <w:szCs w:val="40"/>
    </w:rPr>
  </w:style>
  <w:style w:type="character" w:styleId="char2" w:customStyle="1">
    <w:name w:val="Titolo 2 Carattere"/>
    <w:basedOn w:val="char0"/>
    <w:rPr>
      <w:rFonts w:ascii="Aptos Display" w:hAnsi="Aptos Display" w:eastAsia="Aptos Display" w:cs="Aptos Display"/>
      <w:color w:val="0f4761"/>
      <w:sz w:val="32"/>
      <w:szCs w:val="32"/>
    </w:rPr>
  </w:style>
  <w:style w:type="character" w:styleId="char3" w:customStyle="1">
    <w:name w:val="Titolo 3 Carattere"/>
    <w:basedOn w:val="char0"/>
    <w:rPr>
      <w:rFonts w:eastAsia="Aptos Display" w:cs="Aptos Display"/>
      <w:color w:val="0f4761"/>
      <w:sz w:val="28"/>
      <w:szCs w:val="28"/>
    </w:rPr>
  </w:style>
  <w:style w:type="character" w:styleId="char4" w:customStyle="1">
    <w:name w:val="Titolo 4 Carattere"/>
    <w:basedOn w:val="char0"/>
    <w:rPr>
      <w:rFonts w:eastAsia="Aptos Display" w:cs="Aptos Display"/>
      <w:i/>
      <w:iCs/>
      <w:color w:val="0f4761"/>
    </w:rPr>
  </w:style>
  <w:style w:type="character" w:styleId="char5" w:customStyle="1">
    <w:name w:val="Titolo 5 Carattere"/>
    <w:basedOn w:val="char0"/>
    <w:rPr>
      <w:rFonts w:eastAsia="Aptos Display" w:cs="Aptos Display"/>
      <w:color w:val="0f4761"/>
    </w:rPr>
  </w:style>
  <w:style w:type="character" w:styleId="char6" w:customStyle="1">
    <w:name w:val="Titolo 6 Carattere"/>
    <w:basedOn w:val="char0"/>
    <w:rPr>
      <w:rFonts w:eastAsia="Aptos Display" w:cs="Aptos Display"/>
      <w:i/>
      <w:iCs/>
      <w:color w:val="595959"/>
    </w:rPr>
  </w:style>
  <w:style w:type="character" w:styleId="char7" w:customStyle="1">
    <w:name w:val="Titolo 7 Carattere"/>
    <w:basedOn w:val="char0"/>
    <w:rPr>
      <w:rFonts w:eastAsia="Aptos Display" w:cs="Aptos Display"/>
      <w:color w:val="595959"/>
    </w:rPr>
  </w:style>
  <w:style w:type="character" w:styleId="char8" w:customStyle="1">
    <w:name w:val="Titolo 8 Carattere"/>
    <w:basedOn w:val="char0"/>
    <w:rPr>
      <w:rFonts w:eastAsia="Aptos Display" w:cs="Aptos Display"/>
      <w:i/>
      <w:iCs/>
      <w:color w:val="272727"/>
    </w:rPr>
  </w:style>
  <w:style w:type="character" w:styleId="char9" w:customStyle="1">
    <w:name w:val="Titolo 9 Carattere"/>
    <w:basedOn w:val="char0"/>
    <w:rPr>
      <w:rFonts w:eastAsia="Aptos Display" w:cs="Aptos Display"/>
      <w:color w:val="272727"/>
    </w:rPr>
  </w:style>
  <w:style w:type="character" w:styleId="char10" w:customStyle="1">
    <w:name w:val="Titolo Carattere"/>
    <w:basedOn w:val="char0"/>
    <w:rPr>
      <w:rFonts w:ascii="Aptos Display" w:hAnsi="Aptos Display" w:eastAsia="Aptos Display" w:cs="Aptos Display"/>
      <w:spacing w:val="-10" w:percent="96"/>
      <w:kern w:val="1"/>
      <w:sz w:val="56"/>
      <w:szCs w:val="56"/>
    </w:rPr>
  </w:style>
  <w:style w:type="character" w:styleId="char11" w:customStyle="1">
    <w:name w:val="Sottotitolo Carattere"/>
    <w:basedOn w:val="char0"/>
    <w:rPr>
      <w:rFonts w:eastAsia="Aptos Display" w:cs="Aptos Display"/>
      <w:color w:val="595959"/>
      <w:spacing w:val="16" w:percent="113"/>
      <w:sz w:val="28"/>
      <w:szCs w:val="28"/>
    </w:rPr>
  </w:style>
  <w:style w:type="character" w:styleId="char12" w:customStyle="1">
    <w:name w:val="Citazione Carattere"/>
    <w:basedOn w:val="char0"/>
    <w:rPr>
      <w:i/>
      <w:iCs/>
      <w:color w:val="404040"/>
    </w:rPr>
  </w:style>
  <w:style w:type="character" w:styleId="char13">
    <w:name w:val="Intense Emphasis"/>
    <w:basedOn w:val="char0"/>
    <w:rPr>
      <w:i/>
      <w:iCs/>
      <w:color w:val="0f4761"/>
    </w:rPr>
  </w:style>
  <w:style w:type="character" w:styleId="char14" w:customStyle="1">
    <w:name w:val="Citazione intensa Carattere"/>
    <w:basedOn w:val="char0"/>
    <w:rPr>
      <w:i/>
      <w:iCs/>
      <w:color w:val="0f4761"/>
    </w:rPr>
  </w:style>
  <w:style w:type="character" w:styleId="char15">
    <w:name w:val="Intense Reference"/>
    <w:basedOn w:val="char0"/>
    <w:rPr>
      <w:b/>
      <w:bCs/>
      <w:smallCaps w:percent="80"/>
      <w:color w:val="0f4761"/>
      <w:spacing w:val="0" w:percent="100"/>
    </w:rPr>
  </w:style>
  <w:style w:type="character" w:styleId="char16" w:customStyle="1">
    <w:name w:val="Intestazione Carattere"/>
    <w:basedOn w:val="char0"/>
  </w:style>
  <w:style w:type="character" w:styleId="char17" w:customStyle="1">
    <w:name w:val="Piè di pagina Carattere"/>
    <w:basedOn w:val="char0"/>
  </w:style>
  <w:style w:type="table" w:default="1" w:styleId="TableNormal">
    <w:name w:val="Tabella norma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ptos" w:hAnsi="Aptos" w:eastAsia="Aptos" w:cs="Aptos"/>
        <w:kern w:val="1"/>
        <w:sz w:val="24"/>
        <w:szCs w:val="24"/>
        <w:lang w:val="it-it" w:eastAsia="ja-jp" w:bidi="ar-sa"/>
      </w:rPr>
    </w:rPrDefault>
    <w:pPrDefault>
      <w:pPr>
        <w:spacing w:after="160" w:line="278"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360" w:after="80"/>
      <w:keepNext/>
      <w:outlineLvl w:val="0"/>
      <w:keepLines/>
    </w:pPr>
    <w:rPr>
      <w:rFonts w:ascii="Aptos Display" w:hAnsi="Aptos Display" w:eastAsia="Aptos Display" w:cs="Aptos Display"/>
      <w:color w:val="0f4761"/>
      <w:sz w:val="40"/>
      <w:szCs w:val="40"/>
    </w:rPr>
  </w:style>
  <w:style w:type="paragraph" w:styleId="para2">
    <w:name w:val="heading 2"/>
    <w:qFormat/>
    <w:basedOn w:val="para0"/>
    <w:next w:val="para0"/>
    <w:pPr>
      <w:spacing w:before="160" w:after="80"/>
      <w:keepNext/>
      <w:outlineLvl w:val="1"/>
      <w:keepLines/>
    </w:pPr>
    <w:rPr>
      <w:rFonts w:ascii="Aptos Display" w:hAnsi="Aptos Display" w:eastAsia="Aptos Display" w:cs="Aptos Display"/>
      <w:color w:val="0f4761"/>
      <w:sz w:val="32"/>
      <w:szCs w:val="32"/>
    </w:rPr>
  </w:style>
  <w:style w:type="paragraph" w:styleId="para3">
    <w:name w:val="heading 3"/>
    <w:qFormat/>
    <w:basedOn w:val="para0"/>
    <w:next w:val="para0"/>
    <w:pPr>
      <w:spacing w:before="160" w:after="80"/>
      <w:keepNext/>
      <w:outlineLvl w:val="2"/>
      <w:keepLines/>
    </w:pPr>
    <w:rPr>
      <w:rFonts w:eastAsia="Aptos Display" w:cs="Aptos Display"/>
      <w:color w:val="0f4761"/>
      <w:sz w:val="28"/>
      <w:szCs w:val="28"/>
    </w:rPr>
  </w:style>
  <w:style w:type="paragraph" w:styleId="para4">
    <w:name w:val="heading 4"/>
    <w:qFormat/>
    <w:basedOn w:val="para0"/>
    <w:next w:val="para0"/>
    <w:pPr>
      <w:spacing w:before="80" w:after="40"/>
      <w:keepNext/>
      <w:outlineLvl w:val="3"/>
      <w:keepLines/>
    </w:pPr>
    <w:rPr>
      <w:rFonts w:eastAsia="Aptos Display" w:cs="Aptos Display"/>
      <w:i/>
      <w:iCs/>
      <w:color w:val="0f4761"/>
    </w:rPr>
  </w:style>
  <w:style w:type="paragraph" w:styleId="para5">
    <w:name w:val="heading 5"/>
    <w:qFormat/>
    <w:basedOn w:val="para0"/>
    <w:next w:val="para0"/>
    <w:pPr>
      <w:spacing w:before="80" w:after="40"/>
      <w:keepNext/>
      <w:outlineLvl w:val="4"/>
      <w:keepLines/>
    </w:pPr>
    <w:rPr>
      <w:rFonts w:eastAsia="Aptos Display" w:cs="Aptos Display"/>
      <w:color w:val="0f4761"/>
    </w:rPr>
  </w:style>
  <w:style w:type="paragraph" w:styleId="para6">
    <w:name w:val="heading 6"/>
    <w:qFormat/>
    <w:basedOn w:val="para0"/>
    <w:next w:val="para0"/>
    <w:pPr>
      <w:spacing w:before="40" w:after="0"/>
      <w:keepNext/>
      <w:outlineLvl w:val="5"/>
      <w:keepLines/>
    </w:pPr>
    <w:rPr>
      <w:rFonts w:eastAsia="Aptos Display" w:cs="Aptos Display"/>
      <w:i/>
      <w:iCs/>
      <w:color w:val="595959"/>
    </w:rPr>
  </w:style>
  <w:style w:type="paragraph" w:styleId="para7">
    <w:name w:val="heading 7"/>
    <w:qFormat/>
    <w:basedOn w:val="para0"/>
    <w:next w:val="para0"/>
    <w:pPr>
      <w:spacing w:before="40" w:after="0"/>
      <w:keepNext/>
      <w:outlineLvl w:val="6"/>
      <w:keepLines/>
    </w:pPr>
    <w:rPr>
      <w:rFonts w:eastAsia="Aptos Display" w:cs="Aptos Display"/>
      <w:color w:val="595959"/>
    </w:rPr>
  </w:style>
  <w:style w:type="paragraph" w:styleId="para8">
    <w:name w:val="heading 8"/>
    <w:qFormat/>
    <w:basedOn w:val="para0"/>
    <w:next w:val="para0"/>
    <w:pPr>
      <w:spacing w:after="0"/>
      <w:keepNext/>
      <w:outlineLvl w:val="7"/>
      <w:keepLines/>
    </w:pPr>
    <w:rPr>
      <w:rFonts w:eastAsia="Aptos Display" w:cs="Aptos Display"/>
      <w:i/>
      <w:iCs/>
      <w:color w:val="272727"/>
    </w:rPr>
  </w:style>
  <w:style w:type="paragraph" w:styleId="para9">
    <w:name w:val="heading 9"/>
    <w:qFormat/>
    <w:basedOn w:val="para0"/>
    <w:next w:val="para0"/>
    <w:pPr>
      <w:spacing w:after="0"/>
      <w:keepNext/>
      <w:outlineLvl w:val="8"/>
      <w:keepLines/>
    </w:pPr>
    <w:rPr>
      <w:rFonts w:eastAsia="Aptos Display" w:cs="Aptos Display"/>
      <w:color w:val="272727"/>
    </w:rPr>
  </w:style>
  <w:style w:type="paragraph" w:styleId="para10">
    <w:name w:val="Title"/>
    <w:qFormat/>
    <w:basedOn w:val="para0"/>
    <w:next w:val="para0"/>
    <w:pPr>
      <w:spacing w:after="80" w:line="240" w:lineRule="auto"/>
      <w:contextualSpacing/>
    </w:pPr>
    <w:rPr>
      <w:rFonts w:ascii="Aptos Display" w:hAnsi="Aptos Display" w:eastAsia="Aptos Display" w:cs="Aptos Display"/>
      <w:spacing w:val="-10" w:percent="96"/>
      <w:sz w:val="56"/>
      <w:szCs w:val="56"/>
    </w:rPr>
  </w:style>
  <w:style w:type="paragraph" w:styleId="para11">
    <w:name w:val="Subtitle"/>
    <w:qFormat/>
    <w:basedOn w:val="para0"/>
    <w:next w:val="para0"/>
    <w:rPr>
      <w:rFonts w:eastAsia="Aptos Display" w:cs="Aptos Display"/>
      <w:color w:val="595959"/>
      <w:spacing w:val="16" w:percent="113"/>
      <w:sz w:val="28"/>
      <w:szCs w:val="28"/>
    </w:rPr>
  </w:style>
  <w:style w:type="paragraph" w:styleId="para12">
    <w:name w:val="Quote"/>
    <w:qFormat/>
    <w:basedOn w:val="para0"/>
    <w:next w:val="para0"/>
    <w:pPr>
      <w:spacing w:before="160"/>
      <w:jc w:val="center"/>
    </w:pPr>
    <w:rPr>
      <w:i/>
      <w:iCs/>
      <w:color w:val="404040"/>
    </w:rPr>
  </w:style>
  <w:style w:type="paragraph" w:styleId="para13">
    <w:name w:val="List Paragraph"/>
    <w:qFormat/>
    <w:basedOn w:val="para0"/>
    <w:pPr>
      <w:ind w:left="720"/>
      <w:contextualSpacing/>
    </w:pPr>
  </w:style>
  <w:style w:type="paragraph" w:styleId="para14">
    <w:name w:val="Intense Quote"/>
    <w:qFormat/>
    <w:basedOn w:val="para0"/>
    <w:next w:val="para0"/>
    <w:pPr>
      <w:ind w:left="864" w:right="864"/>
      <w:spacing w:before="360" w:after="360"/>
      <w:jc w:val="center"/>
      <w:pBdr>
        <w:top w:val="single" w:sz="4" w:space="10" w:color="0F4761" tmln="10, 20, 20, 0, 200"/>
        <w:left w:val="nil" w:sz="0" w:space="3" w:color="000000" tmln="20, 20, 20, 0, 60"/>
        <w:bottom w:val="single" w:sz="4" w:space="10" w:color="0F4761" tmln="10, 20, 20, 0, 200"/>
        <w:right w:val="nil" w:sz="0" w:space="3" w:color="000000" tmln="20, 20, 20, 0, 60"/>
        <w:between w:val="nil" w:sz="0" w:space="0" w:color="000000" tmln="20, 20, 20, 0, 0"/>
      </w:pBdr>
      <w:shd w:val="none"/>
    </w:pPr>
    <w:rPr>
      <w:i/>
      <w:iCs/>
      <w:color w:val="0f4761"/>
    </w:rPr>
  </w:style>
  <w:style w:type="paragraph" w:styleId="para15">
    <w:name w:val="Header"/>
    <w:qFormat/>
    <w:basedOn w:val="para0"/>
    <w:pPr>
      <w:spacing w:after="0" w:line="240" w:lineRule="auto"/>
      <w:tabs defTabSz="708">
        <w:tab w:val="center" w:pos="4819" w:leader="none"/>
        <w:tab w:val="right" w:pos="9638" w:leader="none"/>
      </w:tabs>
    </w:pPr>
  </w:style>
  <w:style w:type="paragraph" w:styleId="para16">
    <w:name w:val="Footer"/>
    <w:qFormat/>
    <w:basedOn w:val="para0"/>
    <w:pPr>
      <w:spacing w:after="0" w:line="240" w:lineRule="auto"/>
      <w:tabs defTabSz="708">
        <w:tab w:val="center" w:pos="4819" w:leader="none"/>
        <w:tab w:val="right" w:pos="9638" w:leader="none"/>
      </w:tabs>
    </w:pPr>
  </w:style>
  <w:style w:type="character" w:styleId="char0" w:default="1">
    <w:name w:val="Default Paragraph Font"/>
  </w:style>
  <w:style w:type="character" w:styleId="char1" w:customStyle="1">
    <w:name w:val="Titolo 1 Carattere"/>
    <w:basedOn w:val="char0"/>
    <w:rPr>
      <w:rFonts w:ascii="Aptos Display" w:hAnsi="Aptos Display" w:eastAsia="Aptos Display" w:cs="Aptos Display"/>
      <w:color w:val="0f4761"/>
      <w:sz w:val="40"/>
      <w:szCs w:val="40"/>
    </w:rPr>
  </w:style>
  <w:style w:type="character" w:styleId="char2" w:customStyle="1">
    <w:name w:val="Titolo 2 Carattere"/>
    <w:basedOn w:val="char0"/>
    <w:rPr>
      <w:rFonts w:ascii="Aptos Display" w:hAnsi="Aptos Display" w:eastAsia="Aptos Display" w:cs="Aptos Display"/>
      <w:color w:val="0f4761"/>
      <w:sz w:val="32"/>
      <w:szCs w:val="32"/>
    </w:rPr>
  </w:style>
  <w:style w:type="character" w:styleId="char3" w:customStyle="1">
    <w:name w:val="Titolo 3 Carattere"/>
    <w:basedOn w:val="char0"/>
    <w:rPr>
      <w:rFonts w:eastAsia="Aptos Display" w:cs="Aptos Display"/>
      <w:color w:val="0f4761"/>
      <w:sz w:val="28"/>
      <w:szCs w:val="28"/>
    </w:rPr>
  </w:style>
  <w:style w:type="character" w:styleId="char4" w:customStyle="1">
    <w:name w:val="Titolo 4 Carattere"/>
    <w:basedOn w:val="char0"/>
    <w:rPr>
      <w:rFonts w:eastAsia="Aptos Display" w:cs="Aptos Display"/>
      <w:i/>
      <w:iCs/>
      <w:color w:val="0f4761"/>
    </w:rPr>
  </w:style>
  <w:style w:type="character" w:styleId="char5" w:customStyle="1">
    <w:name w:val="Titolo 5 Carattere"/>
    <w:basedOn w:val="char0"/>
    <w:rPr>
      <w:rFonts w:eastAsia="Aptos Display" w:cs="Aptos Display"/>
      <w:color w:val="0f4761"/>
    </w:rPr>
  </w:style>
  <w:style w:type="character" w:styleId="char6" w:customStyle="1">
    <w:name w:val="Titolo 6 Carattere"/>
    <w:basedOn w:val="char0"/>
    <w:rPr>
      <w:rFonts w:eastAsia="Aptos Display" w:cs="Aptos Display"/>
      <w:i/>
      <w:iCs/>
      <w:color w:val="595959"/>
    </w:rPr>
  </w:style>
  <w:style w:type="character" w:styleId="char7" w:customStyle="1">
    <w:name w:val="Titolo 7 Carattere"/>
    <w:basedOn w:val="char0"/>
    <w:rPr>
      <w:rFonts w:eastAsia="Aptos Display" w:cs="Aptos Display"/>
      <w:color w:val="595959"/>
    </w:rPr>
  </w:style>
  <w:style w:type="character" w:styleId="char8" w:customStyle="1">
    <w:name w:val="Titolo 8 Carattere"/>
    <w:basedOn w:val="char0"/>
    <w:rPr>
      <w:rFonts w:eastAsia="Aptos Display" w:cs="Aptos Display"/>
      <w:i/>
      <w:iCs/>
      <w:color w:val="272727"/>
    </w:rPr>
  </w:style>
  <w:style w:type="character" w:styleId="char9" w:customStyle="1">
    <w:name w:val="Titolo 9 Carattere"/>
    <w:basedOn w:val="char0"/>
    <w:rPr>
      <w:rFonts w:eastAsia="Aptos Display" w:cs="Aptos Display"/>
      <w:color w:val="272727"/>
    </w:rPr>
  </w:style>
  <w:style w:type="character" w:styleId="char10" w:customStyle="1">
    <w:name w:val="Titolo Carattere"/>
    <w:basedOn w:val="char0"/>
    <w:rPr>
      <w:rFonts w:ascii="Aptos Display" w:hAnsi="Aptos Display" w:eastAsia="Aptos Display" w:cs="Aptos Display"/>
      <w:spacing w:val="-10" w:percent="96"/>
      <w:kern w:val="1"/>
      <w:sz w:val="56"/>
      <w:szCs w:val="56"/>
    </w:rPr>
  </w:style>
  <w:style w:type="character" w:styleId="char11" w:customStyle="1">
    <w:name w:val="Sottotitolo Carattere"/>
    <w:basedOn w:val="char0"/>
    <w:rPr>
      <w:rFonts w:eastAsia="Aptos Display" w:cs="Aptos Display"/>
      <w:color w:val="595959"/>
      <w:spacing w:val="16" w:percent="113"/>
      <w:sz w:val="28"/>
      <w:szCs w:val="28"/>
    </w:rPr>
  </w:style>
  <w:style w:type="character" w:styleId="char12" w:customStyle="1">
    <w:name w:val="Citazione Carattere"/>
    <w:basedOn w:val="char0"/>
    <w:rPr>
      <w:i/>
      <w:iCs/>
      <w:color w:val="404040"/>
    </w:rPr>
  </w:style>
  <w:style w:type="character" w:styleId="char13">
    <w:name w:val="Intense Emphasis"/>
    <w:basedOn w:val="char0"/>
    <w:rPr>
      <w:i/>
      <w:iCs/>
      <w:color w:val="0f4761"/>
    </w:rPr>
  </w:style>
  <w:style w:type="character" w:styleId="char14" w:customStyle="1">
    <w:name w:val="Citazione intensa Carattere"/>
    <w:basedOn w:val="char0"/>
    <w:rPr>
      <w:i/>
      <w:iCs/>
      <w:color w:val="0f4761"/>
    </w:rPr>
  </w:style>
  <w:style w:type="character" w:styleId="char15">
    <w:name w:val="Intense Reference"/>
    <w:basedOn w:val="char0"/>
    <w:rPr>
      <w:b/>
      <w:bCs/>
      <w:smallCaps w:percent="80"/>
      <w:color w:val="0f4761"/>
      <w:spacing w:val="0" w:percent="100"/>
    </w:rPr>
  </w:style>
  <w:style w:type="character" w:styleId="char16" w:customStyle="1">
    <w:name w:val="Intestazione Carattere"/>
    <w:basedOn w:val="char0"/>
  </w:style>
  <w:style w:type="character" w:styleId="char17" w:customStyle="1">
    <w:name w:val="Piè di pagina Carattere"/>
    <w:basedOn w:val="char0"/>
  </w:style>
  <w:style w:type="table" w:default="1" w:styleId="TableNormal">
    <w:name w:val="Tabella norma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ptos Display"/>
        <a:ea typeface="Aptos Display"/>
        <a:cs typeface="Aptos Display"/>
      </a:majorFont>
      <a:minorFont>
        <a:latin typeface="Aptos"/>
        <a:ea typeface="Aptos"/>
        <a:cs typeface="Apto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rev.1218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Adrian Nicolaescu</dc:creator>
  <cp:keywords/>
  <dc:description/>
  <cp:lastModifiedBy/>
  <cp:revision>6</cp:revision>
  <cp:lastPrinted>2024-09-15T20:28:35Z</cp:lastPrinted>
  <dcterms:created xsi:type="dcterms:W3CDTF">2024-08-29T16:59:00Z</dcterms:created>
  <dcterms:modified xsi:type="dcterms:W3CDTF">2024-09-15T20:29:31Z</dcterms:modified>
</cp:coreProperties>
</file>