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320" w:lineRule="auto"/>
        <w:rPr>
          <w:rFonts w:ascii="Lato" w:cs="Lato" w:eastAsia="Lato" w:hAnsi="Lato"/>
          <w:smallCaps w:val="1"/>
          <w:color w:val="00b5bc"/>
          <w:sz w:val="24"/>
          <w:szCs w:val="24"/>
        </w:rPr>
      </w:pPr>
      <w:bookmarkStart w:colFirst="0" w:colLast="0" w:name="_46r0co2" w:id="0"/>
      <w:bookmarkEnd w:id="0"/>
      <w:r w:rsidDel="00000000" w:rsidR="00000000" w:rsidRPr="00000000">
        <w:rPr>
          <w:sz w:val="26"/>
          <w:szCs w:val="26"/>
          <w:rtl w:val="0"/>
        </w:rPr>
        <w:t xml:space="preserve">About the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jc w:val="both"/>
        <w:rPr>
          <w:rFonts w:ascii="Lato" w:cs="Lato" w:eastAsia="Lato" w:hAnsi="Lato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360" w:lineRule="auto"/>
        <w:jc w:val="both"/>
        <w:rPr>
          <w:b w:val="1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Bro4u Online Services Pvt LTD is an online marketplace that connects users with a variety of local services, including mobile car washes, laundry, plumbing, and electrical work. The platform offers a convenient way to book services directly or via WhatsApp. By taking a commission from each booking, Bro4u Online Services Pvt LTD ensures a curated selection of top-rated vendors while continuously enhancing its offerings for a seamless user experience.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80" w:before="280" w:line="276" w:lineRule="auto"/>
        <w:jc w:val="both"/>
        <w:rPr>
          <w:b w:val="1"/>
        </w:rPr>
      </w:pPr>
      <w:bookmarkStart w:colFirst="0" w:colLast="0" w:name="_j55bq0q8qcde" w:id="1"/>
      <w:bookmarkEnd w:id="1"/>
      <w:r w:rsidDel="00000000" w:rsidR="00000000" w:rsidRPr="00000000">
        <w:rPr>
          <w:b w:val="1"/>
          <w:rtl w:val="0"/>
        </w:rPr>
        <w:t xml:space="preserve">Scope of Work</w:t>
      </w:r>
    </w:p>
    <w:p w:rsidR="00000000" w:rsidDel="00000000" w:rsidP="00000000" w:rsidRDefault="00000000" w:rsidRPr="00000000" w14:paraId="00000005">
      <w:pPr>
        <w:spacing w:after="240" w:before="240" w:line="335.99999999999994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migration from Amazon Web Services (AWS) to Google Cloud Platform (GCP) will follow a well-defined process to ensure a smooth transition. The </w:t>
      </w: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Assessment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phase is for understanding the current AWS environment and planning the migration. This involves cataloging resources and evaluating their alignment with GCP services.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Catalog resources: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List all current AWS assets.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Evaluate alignment: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Map AWS resources to GCP services.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Develop migration plan: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Detail strategy, timelines, and resources.</w:t>
      </w:r>
    </w:p>
    <w:p w:rsidR="00000000" w:rsidDel="00000000" w:rsidP="00000000" w:rsidRDefault="00000000" w:rsidRPr="00000000" w14:paraId="00000009">
      <w:pPr>
        <w:spacing w:after="240" w:before="240" w:line="335.99999999999994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In the </w:t>
      </w: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Data Migration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phase, we will transfer data and applications to GCP. Key activities include using GCP Data Transfer services and the Database Migration Service.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Use Data Transfer services: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Move data efficiently with minimal downtime.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Employ Database Migration Service: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Ensure data integrity.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Migrate virtual machines: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Use Migrate for Compute Engine and replicate AWS network setup.</w:t>
      </w:r>
    </w:p>
    <w:p w:rsidR="00000000" w:rsidDel="00000000" w:rsidP="00000000" w:rsidRDefault="00000000" w:rsidRPr="00000000" w14:paraId="0000000D">
      <w:pPr>
        <w:spacing w:after="240" w:before="240" w:line="335.99999999999994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During the </w:t>
      </w: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Testing and Cutover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phase, we will test the systems in GCP to ensure proper functionality. This includes validating performance, data consistency, and network configurations.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Test performance: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Ensure applications work well in GCP.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Verify data consistency: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Check data integrity.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335.99999999999994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Confirm network setup: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Ensure Cloud DNS, Load Balancers, and Cloud CDN are configured correctly.</w:t>
      </w:r>
    </w:p>
    <w:p w:rsidR="00000000" w:rsidDel="00000000" w:rsidP="00000000" w:rsidRDefault="00000000" w:rsidRPr="00000000" w14:paraId="00000011">
      <w:pPr>
        <w:spacing w:after="240" w:before="240" w:line="335.99999999999994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migration will involve detailed planning, phased execution, and thorough testing to ensure a smooth transition to Google Cloud. Post-migration support will include GCP training, comprehensive documentation, and ongoing monitoring to address any issues that arise. The goal is to achieve a seamless transition with optimized performance and cost efficiency. This approach ensures that both the application and database are effectively transferred and maintained.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Conduct testing to ensure functionality and performance.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35.99999999999994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Provide training and documentation for GCP.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335.99999999999994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Implement monitoring with Google Cloud Monitoring, logging with Google Cloud Logging, and establishing security practices using Google IAM and Security Command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Architecture Diagram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6">
      <w:pPr>
        <w:keepLines w:val="1"/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4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240" w:before="240" w:line="240" w:lineRule="auto"/>
        <w:jc w:val="both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Architecture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DNS: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Directs internet traffic to the correct GCP resources.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Application Load Balancer: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Distributes traffic across multiple instances of an application.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CDN: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Delivers content quickly to users around the world.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Storage: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Stores data securely and efficiently.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Data Transfer: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Handles the movement of data from AWS to GCP.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Database Migration Service: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Migrates databases from AWS to GCP.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Migrate for Compute Engine: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Assists in migrating virtual machines from AWS to GCP.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VPN: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Creates secure connections between GCP and on-premises networks.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Router: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Manages network traffic within GCP.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VPC: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Provides a private network for your resources.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Availability Zone: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geographical location with multiple data centers.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Private Subnet: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network within a VPC that is not accessible from the public internet.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Autoscaling Group: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Automatically adjusts the number of instances based on demand.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Memorystore: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managed Redis service.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Cloud SQL: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fully managed relational database service.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SQL Replica: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 copy of a Cloud SQL instance for disaster recovery.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Vendor API (Compute):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Allows interaction with GCP compute resources through APIs.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Crons (Compute):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Schedules tasks to run at specific times.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Admin (Compute):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Manages compute resources within GCP.</w:t>
      </w:r>
    </w:p>
    <w:p w:rsidR="00000000" w:rsidDel="00000000" w:rsidP="00000000" w:rsidRDefault="00000000" w:rsidRPr="00000000" w14:paraId="0000002B">
      <w:pPr>
        <w:spacing w:after="0" w:before="240" w:line="240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40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both"/>
        <w:rPr>
          <w:rFonts w:ascii="Lato" w:cs="Lato" w:eastAsia="Lato" w:hAnsi="Lato"/>
          <w:b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Workflow: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Assessment: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Analyze existing AWS infrastructure to determine the best migration strategy.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Data Migration: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Move data from AWS to GCP using Data Transfer and Database Migration Service.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Infrastructure Setup: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Create VPCs, subnets, and other network components in GCP.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Application Migration: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Migrate applications to GCP using Migrate for Compute Engine or other tools.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Configuration: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Configure load balancers, DNS, and other components.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Testing: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Thoroughly test applications and infrastructure in GCP.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40" w:line="240" w:lineRule="auto"/>
        <w:ind w:left="720" w:hanging="360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sz w:val="20"/>
          <w:szCs w:val="20"/>
          <w:rtl w:val="0"/>
        </w:rPr>
        <w:t xml:space="preserve">Cutover: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Switch traffic from AWS to GCP.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Google Pricing Link </w:t>
      </w:r>
    </w:p>
    <w:p w:rsidR="00000000" w:rsidDel="00000000" w:rsidP="00000000" w:rsidRDefault="00000000" w:rsidRPr="00000000" w14:paraId="0000003B">
      <w:pPr>
        <w:jc w:val="both"/>
        <w:rPr>
          <w:rFonts w:ascii="Lato Black" w:cs="Lato Black" w:eastAsia="Lato Black" w:hAnsi="Lato Black"/>
          <w:b w:val="1"/>
          <w:smallCaps w:val="1"/>
          <w:color w:val="00b5bc"/>
          <w:sz w:val="28"/>
          <w:szCs w:val="28"/>
        </w:rPr>
      </w:pPr>
      <w:hyperlink r:id="rId7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u w:val="single"/>
            <w:rtl w:val="0"/>
          </w:rPr>
          <w:t xml:space="preserve">https://cloudpricingcalculator.appspot.com/#!?id=63e9813f-997b-46d6-a7a3-ff2728dd3b77#resultBlock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after="240" w:before="240" w:lin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3D">
      <w:pPr>
        <w:keepLines w:val="1"/>
        <w:spacing w:after="240" w:before="240" w:line="240" w:lineRule="auto"/>
        <w:jc w:val="both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20 Days </w:t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spacing w:before="200" w:line="276" w:lineRule="auto"/>
        <w:rPr>
          <w:rFonts w:ascii="Lato" w:cs="Lato" w:eastAsia="Lato" w:hAnsi="Lato"/>
          <w:smallCaps w:val="1"/>
          <w:color w:val="1db5bc"/>
          <w:sz w:val="24"/>
          <w:szCs w:val="24"/>
        </w:rPr>
      </w:pPr>
      <w:bookmarkStart w:colFirst="0" w:colLast="0" w:name="_1rvwp1q" w:id="2"/>
      <w:bookmarkEnd w:id="2"/>
      <w:r w:rsidDel="00000000" w:rsidR="00000000" w:rsidRPr="00000000">
        <w:rPr>
          <w:color w:val="353744"/>
          <w:sz w:val="26"/>
          <w:szCs w:val="26"/>
          <w:rtl w:val="0"/>
        </w:rPr>
        <w:t xml:space="preserve">Resource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240" w:lineRule="auto"/>
        <w:rPr>
          <w:rFonts w:ascii="Lato" w:cs="Lato" w:eastAsia="Lato" w:hAnsi="Lat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150"/>
        <w:tblW w:w="9721.0" w:type="dxa"/>
        <w:jc w:val="left"/>
        <w:tblLayout w:type="fixed"/>
        <w:tblLook w:val="0400"/>
      </w:tblPr>
      <w:tblGrid>
        <w:gridCol w:w="1575"/>
        <w:gridCol w:w="5138"/>
        <w:gridCol w:w="3008"/>
        <w:tblGridChange w:id="0">
          <w:tblGrid>
            <w:gridCol w:w="1575"/>
            <w:gridCol w:w="5138"/>
            <w:gridCol w:w="3008"/>
          </w:tblGrid>
        </w:tblGridChange>
      </w:tblGrid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before="0" w:line="240" w:lineRule="auto"/>
              <w:jc w:val="center"/>
              <w:rPr>
                <w:rFonts w:ascii="Lato" w:cs="Lato" w:eastAsia="Lato" w:hAnsi="Lato"/>
                <w:b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00000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before="0" w:line="240" w:lineRule="auto"/>
              <w:jc w:val="center"/>
              <w:rPr>
                <w:rFonts w:ascii="Lato" w:cs="Lato" w:eastAsia="Lato" w:hAnsi="Lato"/>
                <w:b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before="0" w:line="240" w:lineRule="auto"/>
              <w:jc w:val="center"/>
              <w:rPr>
                <w:rFonts w:ascii="Lato" w:cs="Lato" w:eastAsia="Lato" w:hAnsi="Lato"/>
                <w:b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000000"/>
                <w:rtl w:val="0"/>
              </w:rPr>
              <w:t xml:space="preserve">Total Man Days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Sr.Cloud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Sr.DevOps 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before="0" w:line="24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C">
      <w:pPr>
        <w:spacing w:before="0" w:line="240" w:lineRule="auto"/>
        <w:rPr>
          <w:rFonts w:ascii="Lato" w:cs="Lato" w:eastAsia="Lato" w:hAnsi="Lat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 Black">
    <w:embedBold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after="200" w:before="80" w:line="240" w:lineRule="auto"/>
      <w:rPr>
        <w:rFonts w:ascii="Verdana" w:cs="Verdana" w:eastAsia="Verdana" w:hAnsi="Verdana"/>
        <w:b w:val="1"/>
        <w:color w:val="1a1a1a"/>
        <w:sz w:val="17"/>
        <w:szCs w:val="17"/>
      </w:rPr>
    </w:pPr>
    <w:r w:rsidDel="00000000" w:rsidR="00000000" w:rsidRPr="00000000">
      <w:rPr>
        <w:b w:val="1"/>
        <w:color w:val="00ab44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align>left</wp:align>
          </wp:positionH>
          <wp:positionV relativeFrom="margin">
            <wp:align>top</wp:align>
          </wp:positionV>
          <wp:extent cx="762000" cy="77152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spacing w:after="200" w:before="80" w:line="240" w:lineRule="auto"/>
      <w:rPr>
        <w:rFonts w:ascii="Verdana" w:cs="Verdana" w:eastAsia="Verdana" w:hAnsi="Verdana"/>
        <w:b w:val="1"/>
        <w:color w:val="1a1a1a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spacing w:after="200" w:before="80" w:line="240" w:lineRule="auto"/>
      <w:rPr>
        <w:rFonts w:ascii="Verdana" w:cs="Verdana" w:eastAsia="Verdana" w:hAnsi="Verdana"/>
        <w:b w:val="1"/>
        <w:color w:val="1a1a1a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spacing w:after="200" w:before="80" w:line="240" w:lineRule="auto"/>
      <w:rPr>
        <w:rFonts w:ascii="Verdana" w:cs="Verdana" w:eastAsia="Verdana" w:hAnsi="Verdana"/>
        <w:b w:val="1"/>
        <w:color w:val="1a1a1a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spacing w:after="200" w:before="80" w:line="240" w:lineRule="auto"/>
      <w:rPr>
        <w:rFonts w:ascii="Verdana" w:cs="Verdana" w:eastAsia="Verdana" w:hAnsi="Verdana"/>
        <w:color w:val="1a1a1a"/>
        <w:sz w:val="17"/>
        <w:szCs w:val="17"/>
      </w:rPr>
    </w:pPr>
    <w:r w:rsidDel="00000000" w:rsidR="00000000" w:rsidRPr="00000000">
      <w:rPr>
        <w:rFonts w:ascii="Verdana" w:cs="Verdana" w:eastAsia="Verdana" w:hAnsi="Verdana"/>
        <w:b w:val="1"/>
        <w:color w:val="1a1a1a"/>
        <w:sz w:val="17"/>
        <w:szCs w:val="17"/>
        <w:rtl w:val="0"/>
      </w:rPr>
      <w:t xml:space="preserve">Ankercloud Technologies Private Limited</w:t>
      <w:tab/>
      <w:tab/>
      <w:br w:type="textWrapping"/>
    </w:r>
    <w:r w:rsidDel="00000000" w:rsidR="00000000" w:rsidRPr="00000000">
      <w:rPr>
        <w:rFonts w:ascii="Verdana" w:cs="Verdana" w:eastAsia="Verdana" w:hAnsi="Verdana"/>
        <w:color w:val="1a1a1a"/>
        <w:sz w:val="17"/>
        <w:szCs w:val="17"/>
        <w:rtl w:val="0"/>
      </w:rPr>
      <w:t xml:space="preserve">India</w:t>
    </w:r>
  </w:p>
  <w:p w:rsidR="00000000" w:rsidDel="00000000" w:rsidP="00000000" w:rsidRDefault="00000000" w:rsidRPr="00000000" w14:paraId="00000052">
    <w:pPr>
      <w:spacing w:after="200" w:before="4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3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200" w:before="4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-I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cloudpricingcalculator.appspot.com/#!?id=63e9813f-997b-46d6-a7a3-ff2728dd3b77#resultBlock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LatoBlack-boldItalic.ttf"/><Relationship Id="rId9" Type="http://schemas.openxmlformats.org/officeDocument/2006/relationships/font" Target="fonts/LatoBlack-bold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