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 xml:space="preserve">Desde la pantalla principal de la administración de </w:t>
      </w:r>
      <w:r w:rsidR="00883635">
        <w:t>bodegas</w:t>
      </w:r>
    </w:p>
    <w:p w:rsidR="000639A3" w:rsidRDefault="000639A3" w:rsidP="00236AA6">
      <w:pPr>
        <w:pStyle w:val="Sinespaciado"/>
      </w:pPr>
    </w:p>
    <w:p w:rsidR="000639A3" w:rsidRDefault="00883635" w:rsidP="00236AA6">
      <w:pPr>
        <w:pStyle w:val="Sinespaciado"/>
      </w:pPr>
      <w:r>
        <w:rPr>
          <w:noProof/>
        </w:rPr>
        <w:drawing>
          <wp:inline distT="0" distB="0" distL="0" distR="0" wp14:anchorId="5F316D5D" wp14:editId="44C0A93E">
            <wp:extent cx="2733675" cy="1181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0639A3" w:rsidP="00236AA6">
      <w:pPr>
        <w:pStyle w:val="Sinespaciado"/>
      </w:pPr>
      <w:r>
        <w:t>Se debe presionar el botón Borrar Información de</w:t>
      </w:r>
      <w:r w:rsidR="00883635">
        <w:t xml:space="preserve"> la </w:t>
      </w:r>
      <w:r>
        <w:t>seleccionad</w:t>
      </w:r>
      <w:r w:rsidR="00883635">
        <w:t>a</w:t>
      </w:r>
      <w:r>
        <w:t xml:space="preserve">, luego aparecerá un cuadro de confirmación, después de aceptar serán borrados </w:t>
      </w:r>
      <w:r w:rsidR="00883635">
        <w:t>los datos de la bodega seleccionada, tener en cuenta que esta bodega puede que tenga movimientos de materiales.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883635" w:rsidP="00236AA6">
      <w:pPr>
        <w:pStyle w:val="Sinespaciado"/>
      </w:pPr>
      <w:r>
        <w:t>Verificar movimientos</w:t>
      </w:r>
      <w:bookmarkStart w:id="1" w:name="_GoBack"/>
      <w:bookmarkEnd w:id="1"/>
      <w:r>
        <w:t xml:space="preserve"> de materiales antes de borrar la bodega</w:t>
      </w:r>
      <w:r w:rsidR="000639A3">
        <w:t>.</w:t>
      </w:r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A42" w:rsidRDefault="00290A42" w:rsidP="00EB4E1F">
      <w:pPr>
        <w:spacing w:after="0" w:line="240" w:lineRule="auto"/>
      </w:pPr>
      <w:r>
        <w:separator/>
      </w:r>
    </w:p>
  </w:endnote>
  <w:endnote w:type="continuationSeparator" w:id="0">
    <w:p w:rsidR="00290A42" w:rsidRDefault="00290A42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290A42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883635" w:rsidRPr="00883635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A42" w:rsidRDefault="00290A42" w:rsidP="00EB4E1F">
      <w:pPr>
        <w:spacing w:after="0" w:line="240" w:lineRule="auto"/>
      </w:pPr>
      <w:r>
        <w:separator/>
      </w:r>
    </w:p>
  </w:footnote>
  <w:footnote w:type="continuationSeparator" w:id="0">
    <w:p w:rsidR="00290A42" w:rsidRDefault="00290A42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290A42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90A42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770EB"/>
    <w:rsid w:val="00883635"/>
    <w:rsid w:val="008904A6"/>
    <w:rsid w:val="009B2445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7496C"/>
    <w:rsid w:val="00DC1078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5EBDA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5F0E"/>
    <w:rsid w:val="00375E20"/>
    <w:rsid w:val="003A18F8"/>
    <w:rsid w:val="00420E97"/>
    <w:rsid w:val="0042649C"/>
    <w:rsid w:val="00650455"/>
    <w:rsid w:val="008130D7"/>
    <w:rsid w:val="00A374CC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2018-02-11T00:38:00Z</dcterms:modified>
</cp:coreProperties>
</file>