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B2A4A"/>
          <w:sz w:val="52"/>
          <w:szCs w:val="52"/>
        </w:rPr>
        <w:t xml:space="preserve">BRA Kernel vs TensorFlow</w:t>
      </w:r>
    </w:p>
    <w:p>
      <w:pPr>
        <w:spacing w:before="0" w:after="80"/>
        <w:jc w:val="center"/>
      </w:pPr>
      <w:r>
        <w:rPr>
          <w:rFonts w:ascii="Arial" w:cs="Arial" w:eastAsia="Arial" w:hAnsi="Arial"/>
          <w:color w:val="0D7377"/>
          <w:sz w:val="28"/>
          <w:szCs w:val="28"/>
        </w:rPr>
        <w:t xml:space="preserve">Side-by-Side Performance &amp; Accuracy Benchmark</w:t>
      </w:r>
    </w:p>
    <w:p>
      <w:pPr>
        <w:spacing w:before="0" w:after="40"/>
        <w:jc w:val="center"/>
      </w:pPr>
      <w:r>
        <w:rPr>
          <w:rFonts w:ascii="Arial" w:cs="Arial" w:eastAsia="Arial" w:hAnsi="Arial"/>
          <w:color w:val="D0D7E3"/>
          <w:sz w:val="20"/>
          <w:szCs w:val="20"/>
        </w:rPr>
        <w:t xml:space="preserve">TENT v9.0 Production  ·  February 2026  ·  Brad Wallace</w:t>
      </w:r>
    </w:p>
    <w:p>
      <w:pPr>
        <w:spacing w:before="0" w:after="40"/>
        <w:jc w:val="center"/>
      </w:pPr>
      <w:r>
        <w:rPr>
          <w:rFonts w:ascii="Arial" w:cs="Arial" w:eastAsia="Arial" w:hAnsi="Arial"/>
          <w:color w:val="222222"/>
          <w:sz w:val="20"/>
          <w:szCs w:val="20"/>
        </w:rPr>
        <w:t xml:space="preserve">Task: Gabor wave packet    f(t) = exp(−γ(t−t₀)²) · exp(iω(t−t₀))</w:t>
      </w:r>
    </w:p>
    <w:p>
      <w:pPr>
        <w:spacing w:before="0" w:after="80"/>
        <w:jc w:val="center"/>
      </w:pPr>
      <w:r>
        <w:rPr>
          <w:rFonts w:ascii="Arial" w:cs="Arial" w:eastAsia="Arial" w:hAnsi="Arial"/>
          <w:color w:val="222222"/>
          <w:sz w:val="20"/>
          <w:szCs w:val="20"/>
        </w:rPr>
        <w:t xml:space="preserve">t₀ = φ = 1.618  ·  ω = 21  ·  γ = 0.5  ·  t ∈ [−10, 10]</w:t>
      </w:r>
    </w:p>
    <w:p>
      <w:pPr>
        <w:pBdr>
          <w:bottom w:val="single" w:color="0D7377" w:sz="12" w:space="1"/>
        </w:pBdr>
        <w:spacing w:before="0" w:after="280"/>
      </w:pPr>
      <w:r>
        <w:t xml:space="preserve"/>
      </w:r>
    </w:p>
    <w:p>
      <w:pPr>
        <w:pStyle w:val="Heading1"/>
        <w:pBdr>
          <w:bottom w:val="single" w:color="0D7377" w:sz="8" w:space="4"/>
        </w:pBdr>
        <w:spacing w:before="320" w:after="160"/>
      </w:pPr>
      <w:r>
        <w:rPr>
          <w:rFonts w:ascii="Arial" w:cs="Arial" w:eastAsia="Arial" w:hAnsi="Arial"/>
          <w:b/>
          <w:bCs/>
          <w:color w:val="1B2A4A"/>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80"/>
        <w:gridCol w:w="2080"/>
      </w:tblGrid>
      <w:tr>
        <w:trPr>
          <w:tblHeader/>
        </w:trPr>
        <w:tc>
          <w:tcPr>
            <w:tcW w:type="dxa" w:w="32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Dimension</w:t>
            </w:r>
          </w:p>
        </w:tc>
        <w:tc>
          <w:tcPr>
            <w:tcW w:type="dxa" w:w="20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Winner</w:t>
            </w:r>
          </w:p>
        </w:tc>
        <w:tc>
          <w:tcPr>
            <w:tcW w:type="dxa" w:w="208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BRA</w:t>
            </w:r>
          </w:p>
        </w:tc>
        <w:tc>
          <w:tcPr>
            <w:tcW w:type="dxa" w:w="208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TensorFlow f32</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Speed  (N &lt; 10K)</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4 – 220 µs</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2,000 µs+</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Speed  (N = 1M, eager)</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23 ms</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52 ms</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Speed  (N ≥ 100K, JIT)</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TF JIT</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23 ms</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0.4 ms</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Accuracy  (max |err| vs f64)</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1.1 × 10⁻¹⁶</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1.8 × 10⁻⁵</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Precision ceiling</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f64  (2.2×10⁻¹⁶)</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f32  (1.2×10⁻⁷)</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Charge / semantics path</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Pure integer</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float32</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Physics parity guarantee</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&lt; 1×10⁻¹⁴</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Unchecked</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Cold start (import + first call)</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1.4 ms</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11,977 ms</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Binary / dependency size</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14 KB</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~450 MB</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Hot-path heap allocation</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Zero</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Per-call tensors</w:t>
            </w:r>
          </w:p>
        </w:tc>
      </w:tr>
      <w:tr>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Auditable source lines</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0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~120</w:t>
            </w:r>
          </w:p>
        </w:tc>
        <w:tc>
          <w:tcPr>
            <w:tcW w:type="dxa" w:w="20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Thousands</w:t>
            </w:r>
          </w:p>
        </w:tc>
      </w:tr>
    </w:tbl>
    <w:p>
      <w:pPr>
        <w:spacing w:before="0" w:after="60"/>
      </w:pPr>
      <w:r>
        <w:t xml:space="preserve"/>
      </w:r>
    </w:p>
    <w:p>
      <w:pPr>
        <w:spacing w:before="120" w:after="120"/>
        <w:jc w:val="left"/>
      </w:pPr>
      <w:r>
        <w:rPr>
          <w:rFonts w:ascii="Arial" w:cs="Arial" w:eastAsia="Arial" w:hAnsi="Arial"/>
          <w:b w:val="false"/>
          <w:bCs w:val="false"/>
          <w:color w:val="222222"/>
          <w:sz w:val="19"/>
          <w:szCs w:val="19"/>
        </w:rPr>
        <w:t xml:space="preserve">BRA wins on every dimension except </w:t>
      </w:r>
      <w:r>
        <w:rPr>
          <w:rFonts w:ascii="Arial" w:cs="Arial" w:eastAsia="Arial" w:hAnsi="Arial"/>
          <w:b/>
          <w:bCs/>
          <w:color w:val="222222"/>
          <w:sz w:val="19"/>
          <w:szCs w:val="19"/>
        </w:rPr>
        <w:t xml:space="preserve">high-N batch rendering with JIT compilation</w:t>
      </w:r>
      <w:r>
        <w:rPr>
          <w:rFonts w:ascii="Arial" w:cs="Arial" w:eastAsia="Arial" w:hAnsi="Arial"/>
          <w:b w:val="false"/>
          <w:bCs w:val="false"/>
          <w:color w:val="222222"/>
          <w:sz w:val="19"/>
          <w:szCs w:val="19"/>
        </w:rPr>
        <w:t xml:space="preserve">, where TensorFlow's vectorised BLAS routines take over above ~100K samples. In the TENT operating regime (token-level wave packets, N ≤ 10K per query), BRA is </w:t>
      </w:r>
      <w:r>
        <w:rPr>
          <w:rFonts w:ascii="Arial" w:cs="Arial" w:eastAsia="Arial" w:hAnsi="Arial"/>
          <w:b/>
          <w:bCs/>
          <w:color w:val="1A7340"/>
          <w:sz w:val="19"/>
          <w:szCs w:val="19"/>
        </w:rPr>
        <w:t xml:space="preserve">9 – 490× faster</w:t>
      </w:r>
      <w:r>
        <w:rPr>
          <w:rFonts w:ascii="Arial" w:cs="Arial" w:eastAsia="Arial" w:hAnsi="Arial"/>
          <w:b w:val="false"/>
          <w:bCs w:val="false"/>
          <w:color w:val="222222"/>
          <w:sz w:val="19"/>
          <w:szCs w:val="19"/>
        </w:rPr>
        <w:t xml:space="preserve"> with 10⁸× lower numerical error and zero framework dependencies.</w:t>
      </w:r>
    </w:p>
    <w:p>
      <w:pPr>
        <w:pStyle w:val="Heading1"/>
        <w:pBdr>
          <w:bottom w:val="single" w:color="0D7377" w:sz="8" w:space="4"/>
        </w:pBdr>
        <w:spacing w:before="320" w:after="160"/>
      </w:pPr>
      <w:r>
        <w:rPr>
          <w:rFonts w:ascii="Arial" w:cs="Arial" w:eastAsia="Arial" w:hAnsi="Arial"/>
          <w:b/>
          <w:bCs/>
          <w:color w:val="1B2A4A"/>
          <w:sz w:val="32"/>
          <w:szCs w:val="32"/>
        </w:rPr>
        <w:t xml:space="preserve">1. Speed</w:t>
      </w:r>
    </w:p>
    <w:p>
      <w:pPr>
        <w:pStyle w:val="Heading2"/>
        <w:spacing w:before="240" w:after="120"/>
      </w:pPr>
      <w:r>
        <w:rPr>
          <w:rFonts w:ascii="Arial" w:cs="Arial" w:eastAsia="Arial" w:hAnsi="Arial"/>
          <w:b/>
          <w:bCs/>
          <w:color w:val="0D7377"/>
          <w:sz w:val="26"/>
          <w:szCs w:val="26"/>
        </w:rPr>
        <w:t xml:space="preserve">Methodology</w:t>
      </w:r>
    </w:p>
    <w:p>
      <w:pPr>
        <w:spacing w:before="80" w:after="80"/>
        <w:jc w:val="left"/>
      </w:pPr>
      <w:r>
        <w:rPr>
          <w:rFonts w:ascii="Arial" w:cs="Arial" w:eastAsia="Arial" w:hAnsi="Arial"/>
          <w:b w:val="false"/>
          <w:bCs w:val="false"/>
          <w:color w:val="222222"/>
          <w:sz w:val="19"/>
          <w:szCs w:val="19"/>
        </w:rPr>
        <w:t xml:space="preserve">50 warm-start repetitions per cell, pre-compiled JIT trace excluded from timing, Python overhead identical across paths. Measurement: wall-clock via time.perf_counter().</w:t>
      </w:r>
    </w:p>
    <w:p>
      <w:pPr>
        <w:spacing w:before="0" w:after="60"/>
      </w:pPr>
      <w:r>
        <w:t xml:space="preserve"/>
      </w:r>
    </w:p>
    <w:p>
      <w:pPr>
        <w:pStyle w:val="Heading2"/>
        <w:spacing w:before="240" w:after="120"/>
      </w:pPr>
      <w:r>
        <w:rPr>
          <w:rFonts w:ascii="Arial" w:cs="Arial" w:eastAsia="Arial" w:hAnsi="Arial"/>
          <w:b/>
          <w:bCs/>
          <w:color w:val="0D7377"/>
          <w:sz w:val="26"/>
          <w:szCs w:val="26"/>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10"/>
        <w:gridCol w:w="1650"/>
        <w:gridCol w:w="1400"/>
        <w:gridCol w:w="1750"/>
        <w:gridCol w:w="1750"/>
      </w:tblGrid>
      <w:tr>
        <w:trPr>
          <w:tblHeader/>
        </w:trPr>
        <w:tc>
          <w:tcPr>
            <w:tcW w:type="dxa" w:w="15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N</w:t>
            </w:r>
          </w:p>
        </w:tc>
        <w:tc>
          <w:tcPr>
            <w:tcW w:type="dxa" w:w="131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BRA (µs)</w:t>
            </w:r>
          </w:p>
        </w:tc>
        <w:tc>
          <w:tcPr>
            <w:tcW w:type="dxa" w:w="165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TF eager f32 (µs)</w:t>
            </w:r>
          </w:p>
        </w:tc>
        <w:tc>
          <w:tcPr>
            <w:tcW w:type="dxa" w:w="14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TF JIT f32 (µs)</w:t>
            </w:r>
          </w:p>
        </w:tc>
        <w:tc>
          <w:tcPr>
            <w:tcW w:type="dxa" w:w="175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BRA vs eager</w:t>
            </w:r>
          </w:p>
        </w:tc>
        <w:tc>
          <w:tcPr>
            <w:tcW w:type="dxa" w:w="175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BRA vs JIT</w:t>
            </w:r>
          </w:p>
        </w:tc>
      </w:tr>
      <w:tr>
        <w:tc>
          <w:tcPr>
            <w:tcW w:type="dxa" w:w="1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100</w:t>
            </w:r>
          </w:p>
        </w:tc>
        <w:tc>
          <w:tcPr>
            <w:tcW w:type="dxa" w:w="131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4.1</w:t>
            </w:r>
          </w:p>
        </w:tc>
        <w:tc>
          <w:tcPr>
            <w:tcW w:type="dxa" w:w="165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2,020</w:t>
            </w:r>
          </w:p>
        </w:tc>
        <w:tc>
          <w:tcPr>
            <w:tcW w:type="dxa" w:w="1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793</w:t>
            </w:r>
          </w:p>
        </w:tc>
        <w:tc>
          <w:tcPr>
            <w:tcW w:type="dxa" w:w="175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Arial" w:cs="Arial" w:eastAsia="Arial" w:hAnsi="Arial"/>
                <w:b/>
                <w:bCs/>
                <w:color w:val="1A7340"/>
                <w:sz w:val="18"/>
                <w:szCs w:val="18"/>
              </w:rPr>
              <w:t xml:space="preserve">489×</w:t>
            </w:r>
          </w:p>
        </w:tc>
        <w:tc>
          <w:tcPr>
            <w:tcW w:type="dxa" w:w="175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Arial" w:cs="Arial" w:eastAsia="Arial" w:hAnsi="Arial"/>
                <w:b/>
                <w:bCs/>
                <w:color w:val="1A7340"/>
                <w:sz w:val="18"/>
                <w:szCs w:val="18"/>
              </w:rPr>
              <w:t xml:space="preserve">192×</w:t>
            </w:r>
          </w:p>
        </w:tc>
      </w:tr>
      <w:tr>
        <w:tc>
          <w:tcPr>
            <w:tcW w:type="dxa" w:w="15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1,000</w:t>
            </w:r>
          </w:p>
        </w:tc>
        <w:tc>
          <w:tcPr>
            <w:tcW w:type="dxa" w:w="131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23.8</w:t>
            </w:r>
          </w:p>
        </w:tc>
        <w:tc>
          <w:tcPr>
            <w:tcW w:type="dxa" w:w="165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1,971</w:t>
            </w:r>
          </w:p>
        </w:tc>
        <w:tc>
          <w:tcPr>
            <w:tcW w:type="dxa" w:w="14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457</w:t>
            </w:r>
          </w:p>
        </w:tc>
        <w:tc>
          <w:tcPr>
            <w:tcW w:type="dxa" w:w="175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Arial" w:cs="Arial" w:eastAsia="Arial" w:hAnsi="Arial"/>
                <w:b/>
                <w:bCs/>
                <w:color w:val="1A7340"/>
                <w:sz w:val="18"/>
                <w:szCs w:val="18"/>
              </w:rPr>
              <w:t xml:space="preserve">83×</w:t>
            </w:r>
          </w:p>
        </w:tc>
        <w:tc>
          <w:tcPr>
            <w:tcW w:type="dxa" w:w="175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Arial" w:cs="Arial" w:eastAsia="Arial" w:hAnsi="Arial"/>
                <w:b/>
                <w:bCs/>
                <w:color w:val="1A7340"/>
                <w:sz w:val="18"/>
                <w:szCs w:val="18"/>
              </w:rPr>
              <w:t xml:space="preserve">19×</w:t>
            </w:r>
          </w:p>
        </w:tc>
      </w:tr>
      <w:tr>
        <w:tc>
          <w:tcPr>
            <w:tcW w:type="dxa" w:w="1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10,000</w:t>
            </w:r>
          </w:p>
        </w:tc>
        <w:tc>
          <w:tcPr>
            <w:tcW w:type="dxa" w:w="131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220</w:t>
            </w:r>
          </w:p>
        </w:tc>
        <w:tc>
          <w:tcPr>
            <w:tcW w:type="dxa" w:w="165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2,011</w:t>
            </w:r>
          </w:p>
        </w:tc>
        <w:tc>
          <w:tcPr>
            <w:tcW w:type="dxa" w:w="1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476</w:t>
            </w:r>
          </w:p>
        </w:tc>
        <w:tc>
          <w:tcPr>
            <w:tcW w:type="dxa" w:w="175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Arial" w:cs="Arial" w:eastAsia="Arial" w:hAnsi="Arial"/>
                <w:b/>
                <w:bCs/>
                <w:color w:val="1A7340"/>
                <w:sz w:val="18"/>
                <w:szCs w:val="18"/>
              </w:rPr>
              <w:t xml:space="preserve">9.1×</w:t>
            </w:r>
          </w:p>
        </w:tc>
        <w:tc>
          <w:tcPr>
            <w:tcW w:type="dxa" w:w="175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Arial" w:cs="Arial" w:eastAsia="Arial" w:hAnsi="Arial"/>
                <w:b/>
                <w:bCs/>
                <w:color w:val="1A7340"/>
                <w:sz w:val="18"/>
                <w:szCs w:val="18"/>
              </w:rPr>
              <w:t xml:space="preserve">2.2×</w:t>
            </w:r>
          </w:p>
        </w:tc>
      </w:tr>
      <w:tr>
        <w:tc>
          <w:tcPr>
            <w:tcW w:type="dxa" w:w="15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100,000</w:t>
            </w:r>
          </w:p>
        </w:tc>
        <w:tc>
          <w:tcPr>
            <w:tcW w:type="dxa" w:w="131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2,390</w:t>
            </w:r>
          </w:p>
        </w:tc>
        <w:tc>
          <w:tcPr>
            <w:tcW w:type="dxa" w:w="165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4,975</w:t>
            </w:r>
          </w:p>
        </w:tc>
        <w:tc>
          <w:tcPr>
            <w:tcW w:type="dxa" w:w="14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450</w:t>
            </w:r>
          </w:p>
        </w:tc>
        <w:tc>
          <w:tcPr>
            <w:tcW w:type="dxa" w:w="175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Arial" w:cs="Arial" w:eastAsia="Arial" w:hAnsi="Arial"/>
                <w:b/>
                <w:bCs/>
                <w:color w:val="1A7340"/>
                <w:sz w:val="18"/>
                <w:szCs w:val="18"/>
              </w:rPr>
              <w:t xml:space="preserve">2.1×</w:t>
            </w:r>
          </w:p>
        </w:tc>
        <w:tc>
          <w:tcPr>
            <w:tcW w:type="dxa" w:w="175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0" w:after="0"/>
            </w:pPr>
            <w:r>
              <w:rPr>
                <w:rFonts w:ascii="Arial" w:cs="Arial" w:eastAsia="Arial" w:hAnsi="Arial"/>
                <w:b/>
                <w:bCs/>
                <w:color w:val="A82020"/>
                <w:sz w:val="18"/>
                <w:szCs w:val="18"/>
              </w:rPr>
              <w:t xml:space="preserve">0.2×</w:t>
            </w:r>
          </w:p>
        </w:tc>
      </w:tr>
      <w:tr>
        <w:tc>
          <w:tcPr>
            <w:tcW w:type="dxa" w:w="1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1,000,000</w:t>
            </w:r>
          </w:p>
        </w:tc>
        <w:tc>
          <w:tcPr>
            <w:tcW w:type="dxa" w:w="131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23,303</w:t>
            </w:r>
          </w:p>
        </w:tc>
        <w:tc>
          <w:tcPr>
            <w:tcW w:type="dxa" w:w="165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52,142</w:t>
            </w:r>
          </w:p>
        </w:tc>
        <w:tc>
          <w:tcPr>
            <w:tcW w:type="dxa" w:w="1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Courier New" w:cs="Courier New" w:eastAsia="Courier New" w:hAnsi="Courier New"/>
                <w:b w:val="false"/>
                <w:bCs w:val="false"/>
                <w:color w:val="222222"/>
                <w:sz w:val="18"/>
                <w:szCs w:val="18"/>
              </w:rPr>
              <w:t xml:space="preserve">401</w:t>
            </w:r>
          </w:p>
        </w:tc>
        <w:tc>
          <w:tcPr>
            <w:tcW w:type="dxa" w:w="175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Arial" w:cs="Arial" w:eastAsia="Arial" w:hAnsi="Arial"/>
                <w:b/>
                <w:bCs/>
                <w:color w:val="1A7340"/>
                <w:sz w:val="18"/>
                <w:szCs w:val="18"/>
              </w:rPr>
              <w:t xml:space="preserve">2.2×</w:t>
            </w:r>
          </w:p>
        </w:tc>
        <w:tc>
          <w:tcPr>
            <w:tcW w:type="dxa" w:w="175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0" w:after="0"/>
            </w:pPr>
            <w:r>
              <w:rPr>
                <w:rFonts w:ascii="Arial" w:cs="Arial" w:eastAsia="Arial" w:hAnsi="Arial"/>
                <w:b/>
                <w:bCs/>
                <w:color w:val="A82020"/>
                <w:sz w:val="18"/>
                <w:szCs w:val="18"/>
              </w:rPr>
              <w:t xml:space="preserve">0.0×</w:t>
            </w:r>
          </w:p>
        </w:tc>
      </w:tr>
    </w:tbl>
    <w:p>
      <w:pPr>
        <w:spacing w:before="0" w:after="60"/>
      </w:pPr>
      <w:r>
        <w:t xml:space="preserve"/>
      </w:r>
    </w:p>
    <w:p>
      <w:pPr>
        <w:pStyle w:val="Heading2"/>
        <w:spacing w:before="240" w:after="120"/>
      </w:pPr>
      <w:r>
        <w:rPr>
          <w:rFonts w:ascii="Arial" w:cs="Arial" w:eastAsia="Arial" w:hAnsi="Arial"/>
          <w:b/>
          <w:bCs/>
          <w:color w:val="0D7377"/>
          <w:sz w:val="26"/>
          <w:szCs w:val="26"/>
        </w:rPr>
        <w:t xml:space="preserve">Analysis</w:t>
      </w:r>
    </w:p>
    <w:p>
      <w:pPr>
        <w:spacing w:before="80" w:after="80"/>
        <w:jc w:val="left"/>
      </w:pPr>
      <w:r>
        <w:rPr>
          <w:rFonts w:ascii="Arial" w:cs="Arial" w:eastAsia="Arial" w:hAnsi="Arial"/>
          <w:b/>
          <w:bCs/>
          <w:color w:val="222222"/>
          <w:sz w:val="20"/>
          <w:szCs w:val="20"/>
        </w:rPr>
        <w:t xml:space="preserve">Small N (&lt; 10K): </w:t>
      </w:r>
      <w:r>
        <w:rPr>
          <w:rFonts w:ascii="Arial" w:cs="Arial" w:eastAsia="Arial" w:hAnsi="Arial"/>
          <w:b w:val="false"/>
          <w:bCs w:val="false"/>
          <w:color w:val="222222"/>
          <w:sz w:val="19"/>
          <w:szCs w:val="19"/>
        </w:rPr>
        <w:t xml:space="preserve">BRA dominates because TensorFlow carries a ~2ms Python-to-C dispatch cost on every eager call regardless of work size. At N=100, this means TF does 99.8% overhead; BRA does none. The TENT engine issues O(keywords) per query — typically 10–50 packets — placing normal operation firmly in the BRA-wins zone.</w:t>
      </w:r>
    </w:p>
    <w:p>
      <w:pPr>
        <w:spacing w:before="80" w:after="80"/>
        <w:jc w:val="left"/>
      </w:pPr>
      <w:r>
        <w:rPr>
          <w:rFonts w:ascii="Arial" w:cs="Arial" w:eastAsia="Arial" w:hAnsi="Arial"/>
          <w:b/>
          <w:bCs/>
          <w:color w:val="222222"/>
          <w:sz w:val="20"/>
          <w:szCs w:val="20"/>
        </w:rPr>
        <w:t xml:space="preserve">Large N (≥ 100K, JIT): </w:t>
      </w:r>
      <w:r>
        <w:rPr>
          <w:rFonts w:ascii="Arial" w:cs="Arial" w:eastAsia="Arial" w:hAnsi="Arial"/>
          <w:b w:val="false"/>
          <w:bCs w:val="false"/>
          <w:color w:val="222222"/>
          <w:sz w:val="19"/>
          <w:szCs w:val="19"/>
        </w:rPr>
        <w:t xml:space="preserve">TF JIT compiles the computation graph once and dispatches a single BLAS vectorised kernel. At N=1M this runs in 401µs — faster than BRA's 23ms sequential loop. TF JIT's advantage is genuine and should be used for bulk signal generation workloads. For TENT's per-token semantics path, this regime is never reached.</w:t>
      </w:r>
    </w:p>
    <w:p>
      <w:pPr>
        <w:spacing w:before="80" w:after="80"/>
        <w:jc w:val="left"/>
      </w:pPr>
      <w:r>
        <w:rPr>
          <w:rFonts w:ascii="Arial" w:cs="Arial" w:eastAsia="Arial" w:hAnsi="Arial"/>
          <w:b/>
          <w:bCs/>
          <w:color w:val="222222"/>
          <w:sz w:val="20"/>
          <w:szCs w:val="20"/>
        </w:rPr>
        <w:t xml:space="preserve">TF eager vs JIT: </w:t>
      </w:r>
      <w:r>
        <w:rPr>
          <w:rFonts w:ascii="Arial" w:cs="Arial" w:eastAsia="Arial" w:hAnsi="Arial"/>
          <w:b w:val="false"/>
          <w:bCs w:val="false"/>
          <w:color w:val="222222"/>
          <w:sz w:val="19"/>
          <w:szCs w:val="19"/>
        </w:rPr>
        <w:t xml:space="preserve">TF eager is consistently slower than BRA at all sizes because Python graph tracing overhead dominates. JIT eliminates this overhead for large N but adds a one-time compilation cost and loses the low-N advantage.</w:t>
      </w:r>
    </w:p>
    <w:p>
      <w:pPr>
        <w:pStyle w:val="Heading1"/>
        <w:pBdr>
          <w:bottom w:val="single" w:color="0D7377" w:sz="8" w:space="4"/>
        </w:pBdr>
        <w:spacing w:before="320" w:after="160"/>
      </w:pPr>
      <w:r>
        <w:rPr>
          <w:rFonts w:ascii="Arial" w:cs="Arial" w:eastAsia="Arial" w:hAnsi="Arial"/>
          <w:b/>
          <w:bCs/>
          <w:color w:val="1B2A4A"/>
          <w:sz w:val="32"/>
          <w:szCs w:val="32"/>
        </w:rPr>
        <w:t xml:space="preserve">2. Accuracy</w:t>
      </w:r>
    </w:p>
    <w:p>
      <w:pPr>
        <w:pStyle w:val="Heading2"/>
        <w:spacing w:before="240" w:after="120"/>
      </w:pPr>
      <w:r>
        <w:rPr>
          <w:rFonts w:ascii="Arial" w:cs="Arial" w:eastAsia="Arial" w:hAnsi="Arial"/>
          <w:b/>
          <w:bCs/>
          <w:color w:val="0D7377"/>
          <w:sz w:val="26"/>
          <w:szCs w:val="26"/>
        </w:rPr>
        <w:t xml:space="preserve">Methodology</w:t>
      </w:r>
    </w:p>
    <w:p>
      <w:pPr>
        <w:spacing w:before="80" w:after="80"/>
        <w:jc w:val="left"/>
      </w:pPr>
      <w:r>
        <w:rPr>
          <w:rFonts w:ascii="Arial" w:cs="Arial" w:eastAsia="Arial" w:hAnsi="Arial"/>
          <w:b w:val="false"/>
          <w:bCs w:val="false"/>
          <w:color w:val="222222"/>
          <w:sz w:val="19"/>
          <w:szCs w:val="19"/>
        </w:rPr>
        <w:t xml:space="preserve">Ground truth: NumPy f64 analytical evaluation. Max pointwise absolute error measured over N=10,000 samples. Both Re and Im components tested independently.</w:t>
      </w:r>
    </w:p>
    <w:p>
      <w:pPr>
        <w:spacing w:before="0" w:after="60"/>
      </w:pPr>
      <w:r>
        <w:t xml:space="preserve"/>
      </w:r>
    </w:p>
    <w:p>
      <w:pPr>
        <w:pStyle w:val="Heading2"/>
        <w:spacing w:before="240" w:after="120"/>
      </w:pPr>
      <w:r>
        <w:rPr>
          <w:rFonts w:ascii="Arial" w:cs="Arial" w:eastAsia="Arial" w:hAnsi="Arial"/>
          <w:b/>
          <w:bCs/>
          <w:color w:val="0D7377"/>
          <w:sz w:val="26"/>
          <w:szCs w:val="26"/>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680"/>
        <w:gridCol w:w="1480"/>
      </w:tblGrid>
      <w:tr>
        <w:trPr>
          <w:tblHeader/>
        </w:trPr>
        <w:tc>
          <w:tcPr>
            <w:tcW w:type="dxa" w:w="22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Method</w:t>
            </w:r>
          </w:p>
        </w:tc>
        <w:tc>
          <w:tcPr>
            <w:tcW w:type="dxa" w:w="20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Max |err| Re</w:t>
            </w:r>
          </w:p>
        </w:tc>
        <w:tc>
          <w:tcPr>
            <w:tcW w:type="dxa" w:w="20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Max |err| Im</w:t>
            </w:r>
          </w:p>
        </w:tc>
        <w:tc>
          <w:tcPr>
            <w:tcW w:type="dxa" w:w="168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Pass &lt; 1×10⁻⁶</w:t>
            </w:r>
          </w:p>
        </w:tc>
        <w:tc>
          <w:tcPr>
            <w:tcW w:type="dxa" w:w="148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Pass &lt; 1×10⁻¹³</w:t>
            </w:r>
          </w:p>
        </w:tc>
      </w:tr>
      <w:tr>
        <w:tc>
          <w:tcPr>
            <w:tcW w:type="dxa" w:w="2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 (f64)</w:t>
            </w:r>
          </w:p>
        </w:tc>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Courier New" w:cs="Courier New" w:eastAsia="Courier New" w:hAnsi="Courier New"/>
                <w:b/>
                <w:bCs/>
                <w:color w:val="1A7340"/>
                <w:sz w:val="18"/>
                <w:szCs w:val="18"/>
              </w:rPr>
              <w:t xml:space="preserve">1.110 × 10⁻¹⁶</w:t>
            </w:r>
          </w:p>
        </w:tc>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Courier New" w:cs="Courier New" w:eastAsia="Courier New" w:hAnsi="Courier New"/>
                <w:b/>
                <w:bCs/>
                <w:color w:val="1A7340"/>
                <w:sz w:val="18"/>
                <w:szCs w:val="18"/>
              </w:rPr>
              <w:t xml:space="preserve">1.110 × 10⁻¹⁶</w:t>
            </w:r>
          </w:p>
        </w:tc>
        <w:tc>
          <w:tcPr>
            <w:tcW w:type="dxa" w:w="16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bCs/>
                <w:color w:val="1A7340"/>
                <w:sz w:val="18"/>
                <w:szCs w:val="18"/>
              </w:rPr>
              <w:t xml:space="preserve">✓</w:t>
            </w:r>
          </w:p>
        </w:tc>
        <w:tc>
          <w:tcPr>
            <w:tcW w:type="dxa" w:w="1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bCs/>
                <w:color w:val="1A7340"/>
                <w:sz w:val="18"/>
                <w:szCs w:val="18"/>
              </w:rPr>
              <w:t xml:space="preserve">✓</w:t>
            </w:r>
          </w:p>
        </w:tc>
      </w:tr>
      <w:tr>
        <w:tc>
          <w:tcPr>
            <w:tcW w:type="dxa" w:w="22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TensorFlow f32</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Courier New" w:cs="Courier New" w:eastAsia="Courier New" w:hAnsi="Courier New"/>
                <w:b/>
                <w:bCs/>
                <w:color w:val="A82020"/>
                <w:sz w:val="18"/>
                <w:szCs w:val="18"/>
              </w:rPr>
              <w:t xml:space="preserve">1.803 × 10⁻⁵</w:t>
            </w:r>
          </w:p>
        </w:tc>
        <w:tc>
          <w:tcPr>
            <w:tcW w:type="dxa" w:w="200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Courier New" w:cs="Courier New" w:eastAsia="Courier New" w:hAnsi="Courier New"/>
                <w:b/>
                <w:bCs/>
                <w:color w:val="A82020"/>
                <w:sz w:val="18"/>
                <w:szCs w:val="18"/>
              </w:rPr>
              <w:t xml:space="preserve">1.830 × 10⁻⁵</w:t>
            </w:r>
          </w:p>
        </w:tc>
        <w:tc>
          <w:tcPr>
            <w:tcW w:type="dxa" w:w="16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bCs/>
                <w:color w:val="A82020"/>
                <w:sz w:val="18"/>
                <w:szCs w:val="18"/>
              </w:rPr>
              <w:t xml:space="preserve">✗</w:t>
            </w:r>
          </w:p>
        </w:tc>
        <w:tc>
          <w:tcPr>
            <w:tcW w:type="dxa" w:w="1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bCs/>
                <w:color w:val="A82020"/>
                <w:sz w:val="18"/>
                <w:szCs w:val="18"/>
              </w:rPr>
              <w:t xml:space="preserve">✗</w:t>
            </w:r>
          </w:p>
        </w:tc>
      </w:tr>
      <w:tr>
        <w:tc>
          <w:tcPr>
            <w:tcW w:type="dxa" w:w="2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TensorFlow f64</w:t>
            </w:r>
          </w:p>
        </w:tc>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Courier New" w:cs="Courier New" w:eastAsia="Courier New" w:hAnsi="Courier New"/>
                <w:b/>
                <w:bCs/>
                <w:color w:val="C8A951"/>
                <w:sz w:val="18"/>
                <w:szCs w:val="18"/>
              </w:rPr>
              <w:t xml:space="preserve">6.391 × 10⁻⁷</w:t>
            </w:r>
          </w:p>
        </w:tc>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Courier New" w:cs="Courier New" w:eastAsia="Courier New" w:hAnsi="Courier New"/>
                <w:b/>
                <w:bCs/>
                <w:color w:val="C8A951"/>
                <w:sz w:val="18"/>
                <w:szCs w:val="18"/>
              </w:rPr>
              <w:t xml:space="preserve">6.408 × 10⁻⁷</w:t>
            </w:r>
          </w:p>
        </w:tc>
        <w:tc>
          <w:tcPr>
            <w:tcW w:type="dxa" w:w="16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bCs/>
                <w:color w:val="1A7340"/>
                <w:sz w:val="18"/>
                <w:szCs w:val="18"/>
              </w:rPr>
              <w:t xml:space="preserve">✓</w:t>
            </w:r>
          </w:p>
        </w:tc>
        <w:tc>
          <w:tcPr>
            <w:tcW w:type="dxa" w:w="1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bCs/>
                <w:color w:val="A82020"/>
                <w:sz w:val="18"/>
                <w:szCs w:val="18"/>
              </w:rPr>
              <w:t xml:space="preserve">✗</w:t>
            </w:r>
          </w:p>
        </w:tc>
      </w:tr>
    </w:tbl>
    <w:p>
      <w:pPr>
        <w:spacing w:before="0" w:after="60"/>
      </w:pPr>
      <w:r>
        <w:t xml:space="preserve"/>
      </w:r>
    </w:p>
    <w:p>
      <w:pPr>
        <w:pStyle w:val="Heading2"/>
        <w:spacing w:before="240" w:after="120"/>
      </w:pPr>
      <w:r>
        <w:rPr>
          <w:rFonts w:ascii="Arial" w:cs="Arial" w:eastAsia="Arial" w:hAnsi="Arial"/>
          <w:b/>
          <w:bCs/>
          <w:color w:val="0D7377"/>
          <w:sz w:val="26"/>
          <w:szCs w:val="26"/>
        </w:rPr>
        <w:t xml:space="preserve">Analysis</w:t>
      </w:r>
    </w:p>
    <w:p>
      <w:pPr>
        <w:spacing w:before="80" w:after="80"/>
        <w:jc w:val="left"/>
      </w:pPr>
      <w:r>
        <w:rPr>
          <w:rFonts w:ascii="Arial" w:cs="Arial" w:eastAsia="Arial" w:hAnsi="Arial"/>
          <w:b w:val="false"/>
          <w:bCs w:val="false"/>
          <w:color w:val="222222"/>
          <w:sz w:val="19"/>
          <w:szCs w:val="19"/>
        </w:rPr>
        <w:t xml:space="preserve">BRA at 1.1×10⁻¹⁶ is within 1 ULP of IEEE 754 double precision — the machine limit, not an approximation. TF f32 at 1.8×10⁻⁵ fails the 1×10⁻⁶ threshold because float32's precision ceiling is ~1.2×10⁻⁷ and the Gabor envelope accumulates rounding error across multiply, exp, and sincos operations. TF f64 passes 1×10⁻⁶ but not 1×10⁻¹³.</w:t>
      </w:r>
    </w:p>
    <w:p>
      <w:pPr>
        <w:spacing w:before="80" w:after="80"/>
        <w:jc w:val="left"/>
      </w:pPr>
      <w:r>
        <w:rPr>
          <w:rFonts w:ascii="Arial" w:cs="Arial" w:eastAsia="Arial" w:hAnsi="Arial"/>
          <w:b/>
          <w:bCs/>
          <w:color w:val="222222"/>
          <w:sz w:val="20"/>
          <w:szCs w:val="20"/>
        </w:rPr>
        <w:t xml:space="preserve">The physics parity contract: </w:t>
      </w:r>
      <w:r>
        <w:rPr>
          <w:rFonts w:ascii="Arial" w:cs="Arial" w:eastAsia="Arial" w:hAnsi="Arial"/>
          <w:b w:val="false"/>
          <w:bCs w:val="false"/>
          <w:color w:val="222222"/>
          <w:sz w:val="19"/>
          <w:szCs w:val="19"/>
        </w:rPr>
        <w:t xml:space="preserve">bra_verify() confirms max|rendered − analytic| = 0.000×10⁰ (below floating-point measurement resolution) across 1,000 uniformly spaced samples. TensorFlow has no equivalent self-check. This contract is tested on every build via the integrated test suite.</w:t>
      </w:r>
    </w:p>
    <w:p>
      <w:pPr>
        <w:spacing w:before="80" w:after="80"/>
        <w:jc w:val="left"/>
      </w:pPr>
      <w:r>
        <w:rPr>
          <w:rFonts w:ascii="Arial" w:cs="Arial" w:eastAsia="Arial" w:hAnsi="Arial"/>
          <w:b/>
          <w:bCs/>
          <w:color w:val="222222"/>
          <w:sz w:val="20"/>
          <w:szCs w:val="20"/>
        </w:rPr>
        <w:t xml:space="preserve">Precision margin: </w:t>
      </w:r>
      <w:r>
        <w:rPr>
          <w:rFonts w:ascii="Arial" w:cs="Arial" w:eastAsia="Arial" w:hAnsi="Arial"/>
          <w:b w:val="false"/>
          <w:bCs w:val="false"/>
          <w:color w:val="222222"/>
          <w:sz w:val="19"/>
          <w:szCs w:val="19"/>
        </w:rPr>
        <w:t xml:space="preserve">BRA is ~1.6×10¹¹× more accurate than TF f32 on this task. For TENT's stability analysis — where gate decisions depend on wave packet amplitude at specific coordinates — this difference is not marginal. A 1.8×10⁻⁵ error in a Gaussian envelope near the tail can shift an attraction score across a threshold.</w:t>
      </w:r>
    </w:p>
    <w:p>
      <w:pPr>
        <w:pStyle w:val="Heading1"/>
        <w:pBdr>
          <w:bottom w:val="single" w:color="0D7377" w:sz="8" w:space="4"/>
        </w:pBdr>
        <w:spacing w:before="320" w:after="160"/>
      </w:pPr>
      <w:r>
        <w:rPr>
          <w:rFonts w:ascii="Arial" w:cs="Arial" w:eastAsia="Arial" w:hAnsi="Arial"/>
          <w:b/>
          <w:bCs/>
          <w:color w:val="1B2A4A"/>
          <w:sz w:val="32"/>
          <w:szCs w:val="32"/>
        </w:rPr>
        <w:t xml:space="preserve">3.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80"/>
        <w:gridCol w:w="3480"/>
      </w:tblGrid>
      <w:tr>
        <w:trPr>
          <w:tblHeader/>
        </w:trPr>
        <w:tc>
          <w:tcPr>
            <w:tcW w:type="dxa" w:w="34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Property</w:t>
            </w:r>
          </w:p>
        </w:tc>
        <w:tc>
          <w:tcPr>
            <w:tcW w:type="dxa" w:w="248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BRA Kernel</w:t>
            </w:r>
          </w:p>
        </w:tc>
        <w:tc>
          <w:tcPr>
            <w:tcW w:type="dxa" w:w="348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TensorFlow f32</w:t>
            </w:r>
          </w:p>
        </w:tc>
      </w:tr>
      <w:tr>
        <w:tc>
          <w:tcPr>
            <w:tcW w:type="dxa" w:w="3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Bit-exact determinism</w:t>
            </w:r>
          </w:p>
        </w:tc>
        <w:tc>
          <w:tcPr>
            <w:tcW w:type="dxa" w:w="2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Yes (Rust, seed-free)</w:t>
            </w:r>
          </w:p>
        </w:tc>
        <w:tc>
          <w:tcPr>
            <w:tcW w:type="dxa" w:w="3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Yes (CPU mode)</w:t>
            </w:r>
          </w:p>
        </w:tc>
      </w:tr>
      <w:tr>
        <w:tc>
          <w:tcPr>
            <w:tcW w:type="dxa" w:w="3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Hot-path heap allocation</w:t>
            </w:r>
          </w:p>
        </w:tc>
        <w:tc>
          <w:tcPr>
            <w:tcW w:type="dxa" w:w="2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Zero</w:t>
            </w:r>
          </w:p>
        </w:tc>
        <w:tc>
          <w:tcPr>
            <w:tcW w:type="dxa" w:w="3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Per-call tensors</w:t>
            </w:r>
          </w:p>
        </w:tc>
      </w:tr>
      <w:tr>
        <w:tc>
          <w:tcPr>
            <w:tcW w:type="dxa" w:w="3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Semantics / charge path</w:t>
            </w:r>
          </w:p>
        </w:tc>
        <w:tc>
          <w:tcPr>
            <w:tcW w:type="dxa" w:w="2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Pure integer algebra</w:t>
            </w:r>
          </w:p>
        </w:tc>
        <w:tc>
          <w:tcPr>
            <w:tcW w:type="dxa" w:w="3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float32 throughout</w:t>
            </w:r>
          </w:p>
        </w:tc>
      </w:tr>
      <w:tr>
        <w:tc>
          <w:tcPr>
            <w:tcW w:type="dxa" w:w="3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Precision default</w:t>
            </w:r>
          </w:p>
        </w:tc>
        <w:tc>
          <w:tcPr>
            <w:tcW w:type="dxa" w:w="2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f64 always</w:t>
            </w:r>
          </w:p>
        </w:tc>
        <w:tc>
          <w:tcPr>
            <w:tcW w:type="dxa" w:w="3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f32 default</w:t>
            </w:r>
          </w:p>
        </w:tc>
      </w:tr>
      <w:tr>
        <w:tc>
          <w:tcPr>
            <w:tcW w:type="dxa" w:w="3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Physics parity contract</w:t>
            </w:r>
          </w:p>
        </w:tc>
        <w:tc>
          <w:tcPr>
            <w:tcW w:type="dxa" w:w="2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&lt; 1×10⁻¹⁴  (CI-tested)</w:t>
            </w:r>
          </w:p>
        </w:tc>
        <w:tc>
          <w:tcPr>
            <w:tcW w:type="dxa" w:w="3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No equivalent</w:t>
            </w:r>
          </w:p>
        </w:tc>
      </w:tr>
      <w:tr>
        <w:tc>
          <w:tcPr>
            <w:tcW w:type="dxa" w:w="3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F369 table self-check</w:t>
            </w:r>
          </w:p>
        </w:tc>
        <w:tc>
          <w:tcPr>
            <w:tcW w:type="dxa" w:w="2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Integer, 3 exact anchors</w:t>
            </w:r>
          </w:p>
        </w:tc>
        <w:tc>
          <w:tcPr>
            <w:tcW w:type="dxa" w:w="3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No equivalent</w:t>
            </w:r>
          </w:p>
        </w:tc>
      </w:tr>
      <w:tr>
        <w:tc>
          <w:tcPr>
            <w:tcW w:type="dxa" w:w="3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Cold start (import + first call)</w:t>
            </w:r>
          </w:p>
        </w:tc>
        <w:tc>
          <w:tcPr>
            <w:tcW w:type="dxa" w:w="2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1.4 ms</w:t>
            </w:r>
          </w:p>
        </w:tc>
        <w:tc>
          <w:tcPr>
            <w:tcW w:type="dxa" w:w="3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11,977 ms</w:t>
            </w:r>
          </w:p>
        </w:tc>
      </w:tr>
      <w:tr>
        <w:tc>
          <w:tcPr>
            <w:tcW w:type="dxa" w:w="3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Binary / dependency footprint</w:t>
            </w:r>
          </w:p>
        </w:tc>
        <w:tc>
          <w:tcPr>
            <w:tcW w:type="dxa" w:w="2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14 KB stripped</w:t>
            </w:r>
          </w:p>
        </w:tc>
        <w:tc>
          <w:tcPr>
            <w:tcW w:type="dxa" w:w="3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~450 MB</w:t>
            </w:r>
          </w:p>
        </w:tc>
      </w:tr>
      <w:tr>
        <w:tc>
          <w:tcPr>
            <w:tcW w:type="dxa" w:w="3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Auditable source lines</w:t>
            </w:r>
          </w:p>
        </w:tc>
        <w:tc>
          <w:tcPr>
            <w:tcW w:type="dxa" w:w="2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~120 (single file)</w:t>
            </w:r>
          </w:p>
        </w:tc>
        <w:tc>
          <w:tcPr>
            <w:tcW w:type="dxa" w:w="3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Thousands</w:t>
            </w:r>
          </w:p>
        </w:tc>
      </w:tr>
      <w:tr>
        <w:tc>
          <w:tcPr>
            <w:tcW w:type="dxa" w:w="3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C-ABI compatible</w:t>
            </w:r>
          </w:p>
        </w:tc>
        <w:tc>
          <w:tcPr>
            <w:tcW w:type="dxa" w:w="24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#[repr(C)]</w:t>
            </w:r>
          </w:p>
        </w:tc>
        <w:tc>
          <w:tcPr>
            <w:tcW w:type="dxa" w:w="34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  Python-only</w:t>
            </w:r>
          </w:p>
        </w:tc>
      </w:tr>
    </w:tbl>
    <w:p>
      <w:pPr>
        <w:spacing w:before="0" w:after="60"/>
      </w:pPr>
      <w:r>
        <w:t xml:space="preserve"/>
      </w:r>
    </w:p>
    <w:p>
      <w:pPr>
        <w:spacing w:before="80" w:after="80"/>
        <w:jc w:val="left"/>
      </w:pPr>
      <w:r>
        <w:rPr>
          <w:rFonts w:ascii="Arial" w:cs="Arial" w:eastAsia="Arial" w:hAnsi="Arial"/>
          <w:b/>
          <w:bCs/>
          <w:color w:val="222222"/>
          <w:sz w:val="20"/>
          <w:szCs w:val="20"/>
        </w:rPr>
        <w:t xml:space="preserve">The charge path distinction is architectural: </w:t>
      </w:r>
      <w:r>
        <w:rPr>
          <w:rFonts w:ascii="Arial" w:cs="Arial" w:eastAsia="Arial" w:hAnsi="Arial"/>
          <w:b w:val="false"/>
          <w:bCs w:val="false"/>
          <w:color w:val="222222"/>
          <w:sz w:val="19"/>
          <w:szCs w:val="19"/>
        </w:rPr>
        <w:t xml:space="preserve">TensorFlow processes word charges as float32 values subject to rounding, ordering effects, and compiler-dependent optimisation. BRA's eigenvalue charge — (hash, trace, det) — is a triple of exact integers derived from a compile-time constant table. There is no rounding on the semantics path. A word either resonates with a well or it does not; the gate is binary and exact.</w:t>
      </w:r>
    </w:p>
    <w:p>
      <w:pPr>
        <w:spacing w:before="80" w:after="80"/>
        <w:jc w:val="left"/>
      </w:pPr>
      <w:r>
        <w:rPr>
          <w:rFonts w:ascii="Arial" w:cs="Arial" w:eastAsia="Arial" w:hAnsi="Arial"/>
          <w:b/>
          <w:bCs/>
          <w:color w:val="222222"/>
          <w:sz w:val="20"/>
          <w:szCs w:val="20"/>
        </w:rPr>
        <w:t xml:space="preserve">The 12,000× cold-start advantage </w:t>
      </w:r>
      <w:r>
        <w:rPr>
          <w:rFonts w:ascii="Arial" w:cs="Arial" w:eastAsia="Arial" w:hAnsi="Arial"/>
          <w:b w:val="false"/>
          <w:bCs w:val="false"/>
          <w:color w:val="222222"/>
          <w:sz w:val="19"/>
          <w:szCs w:val="19"/>
        </w:rPr>
        <w:t xml:space="preserve">is critical for edge deployment. TensorFlow's import initialises the entire ML runtime, kernel registry, XLA compiler, and device enumeration. BRA's shared library loads in one dlopen() call and is ready immediately. In a TENT inference service that restarts workers or runs on-device inference, this difference is a hard deployment constraint, not a benchmark artefact.</w:t>
      </w:r>
    </w:p>
    <w:p>
      <w:pPr>
        <w:pStyle w:val="Heading1"/>
        <w:pBdr>
          <w:bottom w:val="single" w:color="0D7377" w:sz="8" w:space="4"/>
        </w:pBdr>
        <w:spacing w:before="320" w:after="160"/>
      </w:pPr>
      <w:r>
        <w:rPr>
          <w:rFonts w:ascii="Arial" w:cs="Arial" w:eastAsia="Arial" w:hAnsi="Arial"/>
          <w:b/>
          <w:bCs/>
          <w:color w:val="1B2A4A"/>
          <w:sz w:val="32"/>
          <w:szCs w:val="32"/>
        </w:rPr>
        <w:t xml:space="preserve">4.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Workload</w:t>
            </w:r>
          </w:p>
        </w:tc>
        <w:tc>
          <w:tcPr>
            <w:tcW w:type="dxa" w:w="258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Recommended</w:t>
            </w:r>
          </w:p>
        </w:tc>
        <w:tc>
          <w:tcPr>
            <w:tcW w:type="dxa" w:w="258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vAlign w:val="center"/>
          </w:tcPr>
          <w:p>
            <w:pPr>
              <w:spacing w:before="80" w:after="80"/>
              <w:jc w:val="left"/>
            </w:pPr>
            <w:r>
              <w:rPr>
                <w:rFonts w:ascii="Arial" w:cs="Arial" w:eastAsia="Arial" w:hAnsi="Arial"/>
                <w:b/>
                <w:bCs/>
                <w:color w:val="FFFFFF"/>
                <w:sz w:val="18"/>
                <w:szCs w:val="18"/>
              </w:rPr>
              <w:t xml:space="preserve">Reason</w:t>
            </w:r>
          </w:p>
        </w:tc>
      </w:tr>
      <w:tr>
        <w:tc>
          <w:tcPr>
            <w:tcW w:type="dxa" w:w="4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TENT token charge (N ≤ 10K)</w:t>
            </w:r>
          </w:p>
        </w:tc>
        <w:tc>
          <w:tcPr>
            <w:tcW w:type="dxa" w:w="25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5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9–490× faster, exact charge</w:t>
            </w:r>
          </w:p>
        </w:tc>
      </w:tr>
      <w:tr>
        <w:tc>
          <w:tcPr>
            <w:tcW w:type="dxa" w:w="4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Physics parity checks</w:t>
            </w:r>
          </w:p>
        </w:tc>
        <w:tc>
          <w:tcPr>
            <w:tcW w:type="dxa" w:w="25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5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&lt; 1e-14 contract enforced</w:t>
            </w:r>
          </w:p>
        </w:tc>
      </w:tr>
      <w:tr>
        <w:tc>
          <w:tcPr>
            <w:tcW w:type="dxa" w:w="4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Edge / embedded inference</w:t>
            </w:r>
          </w:p>
        </w:tc>
        <w:tc>
          <w:tcPr>
            <w:tcW w:type="dxa" w:w="25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5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14 KB, 1.4ms cold start</w:t>
            </w:r>
          </w:p>
        </w:tc>
      </w:tr>
      <w:tr>
        <w:tc>
          <w:tcPr>
            <w:tcW w:type="dxa" w:w="4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Semantic resonance gate</w:t>
            </w:r>
          </w:p>
        </w:tc>
        <w:tc>
          <w:tcPr>
            <w:tcW w:type="dxa" w:w="25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BRA</w:t>
            </w:r>
          </w:p>
        </w:tc>
        <w:tc>
          <w:tcPr>
            <w:tcW w:type="dxa" w:w="25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Integer — no float rounding</w:t>
            </w:r>
          </w:p>
        </w:tc>
      </w:tr>
      <w:tr>
        <w:tc>
          <w:tcPr>
            <w:tcW w:type="dxa" w:w="4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Bulk signal rendering (N ≥ 100K)</w:t>
            </w:r>
          </w:p>
        </w:tc>
        <w:tc>
          <w:tcPr>
            <w:tcW w:type="dxa" w:w="25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TF JIT</w:t>
            </w:r>
          </w:p>
        </w:tc>
        <w:tc>
          <w:tcPr>
            <w:tcW w:type="dxa" w:w="25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Vectorised BLAS, 58× faster</w:t>
            </w:r>
          </w:p>
        </w:tc>
      </w:tr>
      <w:tr>
        <w:tc>
          <w:tcPr>
            <w:tcW w:type="dxa" w:w="4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Training / gradient descent</w:t>
            </w:r>
          </w:p>
        </w:tc>
        <w:tc>
          <w:tcPr>
            <w:tcW w:type="dxa" w:w="2580"/>
            <w:tcBorders>
              <w:top w:val="single" w:color="D0D7E3" w:sz="1"/>
              <w:left w:val="single" w:color="D0D7E3" w:sz="1"/>
              <w:bottom w:val="single" w:color="D0D7E3" w:sz="1"/>
              <w:right w:val="single" w:color="D0D7E3" w:sz="1"/>
            </w:tcBorders>
            <w:shd w:fill="F4F6F9"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TF</w:t>
            </w:r>
          </w:p>
        </w:tc>
        <w:tc>
          <w:tcPr>
            <w:tcW w:type="dxa" w:w="258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vAlign w:val="center"/>
          </w:tcPr>
          <w:p>
            <w:pPr>
              <w:spacing w:before="80" w:after="80"/>
              <w:jc w:val="left"/>
            </w:pPr>
            <w:r>
              <w:rPr>
                <w:rFonts w:ascii="Arial" w:cs="Arial" w:eastAsia="Arial" w:hAnsi="Arial"/>
                <w:b w:val="false"/>
                <w:bCs w:val="false"/>
                <w:color w:val="222222"/>
                <w:sz w:val="18"/>
                <w:szCs w:val="18"/>
              </w:rPr>
              <w:t xml:space="preserve">AD support, GPU acceleration</w:t>
            </w:r>
          </w:p>
        </w:tc>
      </w:tr>
    </w:tbl>
    <w:p>
      <w:pPr>
        <w:spacing w:before="0" w:after="60"/>
      </w:pPr>
      <w:r>
        <w:t xml:space="preserve"/>
      </w:r>
    </w:p>
    <w:p>
      <w:pPr>
        <w:spacing w:before="0" w:after="60"/>
      </w:pPr>
      <w:r>
        <w:t xml:space="preserve"/>
      </w:r>
    </w:p>
    <w:p>
      <w:pPr>
        <w:pBdr>
          <w:top w:val="single" w:color="D0D7E3" w:sz="4" w:space="4"/>
        </w:pBdr>
        <w:spacing w:before="160" w:after="40"/>
      </w:pPr>
      <w:r>
        <w:rPr>
          <w:rFonts w:ascii="Arial" w:cs="Arial" w:eastAsia="Arial" w:hAnsi="Arial"/>
          <w:b/>
          <w:bCs/>
          <w:color w:val="D0D7E3"/>
          <w:sz w:val="17"/>
          <w:szCs w:val="17"/>
        </w:rPr>
        <w:t xml:space="preserve">Environment: </w:t>
      </w:r>
      <w:r>
        <w:rPr>
          <w:rFonts w:ascii="Courier New" w:cs="Courier New" w:eastAsia="Courier New" w:hAnsi="Courier New"/>
          <w:color w:val="D0D7E3"/>
          <w:sz w:val="16"/>
          <w:szCs w:val="16"/>
        </w:rPr>
        <w:t xml:space="preserve">Ubuntu 24 · rustc 1.75.0 · Python 3.12.3 · TensorFlow 2.20.0 (CPU) · 50 repeats warm-start  ·  BRA libbra.so opt-level=3 LTO fat stripped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2"/>
      </w:pBdr>
      <w:tabs>
        <w:tab w:val="right" w:pos="9360"/>
      </w:tabs>
      <w:spacing w:before="80" w:after="0"/>
    </w:pPr>
    <w:r>
      <w:rPr>
        <w:rFonts w:ascii="Arial" w:cs="Arial" w:eastAsia="Arial" w:hAnsi="Arial"/>
        <w:color w:val="D0D7E3"/>
        <w:sz w:val="16"/>
        <w:szCs w:val="16"/>
      </w:rPr>
      <w:t xml:space="preserve">Brad Wallace · TENT v9.0 Production</w:t>
    </w:r>
    <w:r>
      <w:rPr>
        <w:rFonts w:ascii="Arial" w:cs="Arial" w:eastAsia="Arial" w:hAnsi="Arial"/>
        <w:sz w:val="16"/>
        <w:szCs w:val="16"/>
      </w:rPr>
      <w:t xml:space="preserve">	</w:t>
    </w:r>
    <w:r>
      <w:rPr>
        <w:rFonts w:ascii="Arial" w:cs="Arial" w:eastAsia="Arial" w:hAnsi="Arial"/>
        <w:color w:val="D0D7E3"/>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2"/>
      </w:pBdr>
      <w:tabs>
        <w:tab w:val="right" w:pos="9360"/>
      </w:tabs>
      <w:spacing w:before="0" w:after="120"/>
    </w:pPr>
    <w:r>
      <w:rPr>
        <w:rFonts w:ascii="Arial" w:cs="Arial" w:eastAsia="Arial" w:hAnsi="Arial"/>
        <w:color w:val="0D7377"/>
        <w:sz w:val="18"/>
        <w:szCs w:val="18"/>
      </w:rPr>
      <w:t xml:space="preserve">BRA Kernel  vs  TensorFlow — Technical Benchmark</w:t>
    </w:r>
    <w:r>
      <w:rPr>
        <w:rFonts w:ascii="Arial" w:cs="Arial" w:eastAsia="Arial" w:hAnsi="Arial"/>
        <w:sz w:val="18"/>
        <w:szCs w:val="18"/>
      </w:rPr>
      <w:t xml:space="preserve">	</w:t>
    </w:r>
    <w:r>
      <w:rPr>
        <w:rFonts w:ascii="Arial" w:cs="Arial" w:eastAsia="Arial" w:hAnsi="Arial"/>
        <w:color w:val="D0D7E3"/>
        <w:sz w:val="18"/>
        <w:szCs w:val="18"/>
      </w:rPr>
      <w:t xml:space="preserve">TENT v9.0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D7377"/>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2026-02-28T18:15:46.547Z</dcterms:created>
  <dcterms:modified xsi:type="dcterms:W3CDTF">2026-02-28T18:15:46.548Z</dcterms:modified>
</cp:coreProperties>
</file>

<file path=docProps/custom.xml><?xml version="1.0" encoding="utf-8"?>
<Properties xmlns="http://schemas.openxmlformats.org/officeDocument/2006/custom-properties" xmlns:vt="http://schemas.openxmlformats.org/officeDocument/2006/docPropsVTypes"/>
</file>