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B63"/>
          <w:sz w:val="40"/>
        </w:rPr>
        <w:t>大学院入試 面接資料</w:t>
      </w:r>
    </w:p>
    <w:p>
      <w:pPr>
        <w:jc w:val="center"/>
      </w:pPr>
      <w:r>
        <w:rPr>
          <w:rFonts w:ascii="Yu Gothic" w:hAnsi="Yu Gothic" w:eastAsia="Yu Gothic"/>
          <w:b w:val="0"/>
          <w:color w:val="2E74B5"/>
          <w:sz w:val="22"/>
        </w:rPr>
        <w:t>これまでの研究とその経過 ― MRI 画像による大脳白質病変グレード判別</w:t>
      </w:r>
    </w:p>
    <w:p>
      <w:pPr>
        <w:jc w:val="right"/>
      </w:pPr>
      <w:r>
        <w:rPr>
          <w:rFonts w:ascii="Yu Gothic" w:hAnsi="Yu Gothic" w:eastAsia="Yu Gothic"/>
          <w:color w:val="222222"/>
          <w:sz w:val="21"/>
        </w:rPr>
        <w:t>氏名：竹村 典晃</w:t>
      </w:r>
    </w:p>
    <w:p>
      <w:pPr>
        <w:spacing w:after="120"/>
      </w:pPr>
    </w:p>
    <w:p>
      <w:pPr>
        <w:pStyle w:val="Heading1"/>
      </w:pPr>
      <w:r>
        <w:rPr>
          <w:rFonts w:ascii="Yu Gothic" w:hAnsi="Yu Gothic" w:eastAsia="Yu Gothic"/>
          <w:b/>
          <w:color w:val="1F3B63"/>
          <w:sz w:val="29"/>
        </w:rPr>
        <w:t>1. はじめに（研究の背景と動機）</w:t>
      </w:r>
    </w:p>
    <w:p>
      <w:pPr>
        <w:spacing w:after="120" w:line="300" w:lineRule="auto"/>
      </w:pPr>
      <w:r>
        <w:rPr>
          <w:rFonts w:ascii="Yu Gothic" w:hAnsi="Yu Gothic" w:eastAsia="Yu Gothic"/>
          <w:b w:val="0"/>
          <w:color w:val="222222"/>
          <w:sz w:val="21"/>
        </w:rPr>
        <w:t>大脳白質病変は脳に生じる虚血性の変化であり、その最大のリスク因子は高血圧であるとされています。脳卒中のリスク因子でもあり、早期に進行度（グレード）を把握することは予防医療の観点から重要です。私が所属する研究室では、これまで脳ドック受診者の健診データを用い、ロジスティック回帰により大脳白質病変の有無を予測するモデルを構築してきました（先行研究）。</w:t>
      </w:r>
    </w:p>
    <w:p>
      <w:pPr>
        <w:spacing w:after="120" w:line="300" w:lineRule="auto"/>
      </w:pPr>
      <w:r>
        <w:rPr>
          <w:rFonts w:ascii="Yu Gothic" w:hAnsi="Yu Gothic" w:eastAsia="Yu Gothic"/>
          <w:b w:val="0"/>
          <w:color w:val="222222"/>
          <w:sz w:val="21"/>
        </w:rPr>
        <w:t>私の研究では、この流れを発展させ、健診データではなく MRI 画像そのものから大脳白質病変のグレードを自動判別する手法の確立を目指しています。学部では畳み込みニューラルネットワーク（CNN）を用いた判別に取り組み、大学院進学後は Vision Transformer（ViT）を導入して、より汎化性能の高い判別モデルの構築と、深層学習モデルの適切な評価方法の確立に取り組んでいます。</w:t>
      </w:r>
    </w:p>
    <w:p>
      <w:pPr>
        <w:pStyle w:val="Heading1"/>
      </w:pPr>
      <w:r>
        <w:rPr>
          <w:rFonts w:ascii="Yu Gothic" w:hAnsi="Yu Gothic" w:eastAsia="Yu Gothic"/>
          <w:b/>
          <w:color w:val="1F3B63"/>
          <w:sz w:val="29"/>
        </w:rPr>
        <w:t>2. 研究の全体像</w:t>
      </w:r>
    </w:p>
    <w:p>
      <w:pPr>
        <w:spacing w:after="120" w:line="300" w:lineRule="auto"/>
      </w:pPr>
      <w:r>
        <w:rPr>
          <w:rFonts w:ascii="Yu Gothic" w:hAnsi="Yu Gothic" w:eastAsia="Yu Gothic"/>
          <w:b w:val="0"/>
          <w:color w:val="222222"/>
          <w:sz w:val="21"/>
        </w:rPr>
        <w:t>研究は大きく次の 2 つのフェーズで進めてきました。学部の卒業研究（フェーズ1）で得た知見と課題を踏まえ、大学院ではモデルと評価設計の両面から研究を深めています（フェーズ2）。</w:t>
      </w:r>
    </w:p>
    <w:p>
      <w:pPr>
        <w:pStyle w:val="ListBullet"/>
        <w:spacing w:after="40"/>
      </w:pPr>
      <w:r>
        <w:rPr>
          <w:rFonts w:ascii="Yu Gothic" w:hAnsi="Yu Gothic" w:eastAsia="Yu Gothic"/>
          <w:b/>
          <w:color w:val="222222"/>
          <w:sz w:val="21"/>
        </w:rPr>
        <w:t>フェーズ1（学部・卒業研究）：</w:t>
      </w:r>
      <w:r>
        <w:rPr>
          <w:rFonts w:ascii="Yu Gothic" w:hAnsi="Yu Gothic" w:eastAsia="Yu Gothic"/>
          <w:b w:val="0"/>
          <w:color w:val="222222"/>
          <w:sz w:val="21"/>
        </w:rPr>
        <w:t>CNN による大脳白質病変のグレード予測。撮像スライスの取り方と判別精度の関係、および健診データとの関連を分析。</w:t>
      </w:r>
    </w:p>
    <w:p>
      <w:pPr>
        <w:pStyle w:val="ListBullet"/>
        <w:spacing w:after="40"/>
      </w:pPr>
      <w:r>
        <w:rPr>
          <w:rFonts w:ascii="Yu Gothic" w:hAnsi="Yu Gothic" w:eastAsia="Yu Gothic"/>
          <w:b/>
          <w:color w:val="222222"/>
          <w:sz w:val="21"/>
        </w:rPr>
        <w:t>フェーズ2（大学院・発展研究）：</w:t>
      </w:r>
      <w:r>
        <w:rPr>
          <w:rFonts w:ascii="Yu Gothic" w:hAnsi="Yu Gothic" w:eastAsia="Yu Gothic"/>
          <w:b w:val="0"/>
          <w:color w:val="222222"/>
          <w:sz w:val="21"/>
        </w:rPr>
        <w:t>ViT の導入と CNN との比較。患者単位分割による厳密な再評価、クラス不均衡への対処、少数グレード検出の改善。</w:t>
      </w:r>
    </w:p>
    <w:p>
      <w:pPr>
        <w:pStyle w:val="Heading1"/>
      </w:pPr>
      <w:r>
        <w:rPr>
          <w:rFonts w:ascii="Yu Gothic" w:hAnsi="Yu Gothic" w:eastAsia="Yu Gothic"/>
          <w:b/>
          <w:color w:val="1F3B63"/>
          <w:sz w:val="29"/>
        </w:rPr>
        <w:t>3. 学部での研究：CNN による大脳白質病変のグレード予測</w:t>
      </w:r>
    </w:p>
    <w:p>
      <w:pPr>
        <w:pStyle w:val="Heading2"/>
      </w:pPr>
      <w:r>
        <w:rPr>
          <w:rFonts w:ascii="Yu Gothic" w:hAnsi="Yu Gothic" w:eastAsia="Yu Gothic"/>
          <w:b/>
          <w:color w:val="2E74B5"/>
          <w:sz w:val="24"/>
        </w:rPr>
        <w:t>3.1 研究目的</w:t>
      </w:r>
    </w:p>
    <w:p>
      <w:pPr>
        <w:spacing w:after="120" w:line="300" w:lineRule="auto"/>
      </w:pPr>
      <w:r>
        <w:rPr>
          <w:rFonts w:ascii="Yu Gothic" w:hAnsi="Yu Gothic" w:eastAsia="Yu Gothic"/>
          <w:b w:val="0"/>
          <w:color w:val="222222"/>
          <w:sz w:val="21"/>
        </w:rPr>
        <w:t>MRI 画像を用いた大脳白質病変の診断（グレード判別）手法を確立すること、および判別結果と健診データの検査項目との関連を明らかにすることを目的としました。</w:t>
      </w:r>
    </w:p>
    <w:p>
      <w:pPr>
        <w:pStyle w:val="Heading2"/>
      </w:pPr>
      <w:r>
        <w:rPr>
          <w:rFonts w:ascii="Yu Gothic" w:hAnsi="Yu Gothic" w:eastAsia="Yu Gothic"/>
          <w:b/>
          <w:color w:val="2E74B5"/>
          <w:sz w:val="24"/>
        </w:rPr>
        <w:t>3.2 対象データと「アキシャル」の定義</w:t>
      </w:r>
    </w:p>
    <w:p>
      <w:pPr>
        <w:pStyle w:val="ListBullet"/>
        <w:spacing w:after="40"/>
      </w:pPr>
      <w:r>
        <w:rPr>
          <w:rFonts w:ascii="Yu Gothic" w:hAnsi="Yu Gothic" w:eastAsia="Yu Gothic"/>
          <w:color w:val="222222"/>
          <w:sz w:val="21"/>
        </w:rPr>
        <w:t>頭部 MRI は、患者 1 人あたり頭頂部から眼球付近まで、およそ 25 枚の横断面（スライス）画像で構成される。</w:t>
      </w:r>
    </w:p>
    <w:p>
      <w:pPr>
        <w:pStyle w:val="ListBullet"/>
        <w:spacing w:after="40"/>
      </w:pPr>
      <w:r>
        <w:rPr>
          <w:rFonts w:ascii="Yu Gothic" w:hAnsi="Yu Gothic" w:eastAsia="Yu Gothic"/>
          <w:color w:val="222222"/>
          <w:sz w:val="21"/>
        </w:rPr>
        <w:t>撮影された各横断面スライスの順番を、便宜的に「アキシャル」という単位として定義した。</w:t>
      </w:r>
    </w:p>
    <w:p>
      <w:pPr>
        <w:pStyle w:val="ListBullet"/>
        <w:spacing w:after="40"/>
      </w:pPr>
      <w:r>
        <w:rPr>
          <w:rFonts w:ascii="Yu Gothic" w:hAnsi="Yu Gothic" w:eastAsia="Yu Gothic"/>
          <w:color w:val="222222"/>
          <w:sz w:val="21"/>
        </w:rPr>
        <w:t>大脳白質病変は脳室周囲に多く現れ、頭頂部寄りや眼球側のスライスには病変が写りにくい。</w:t>
      </w:r>
    </w:p>
    <w:p>
      <w:pPr>
        <w:pStyle w:val="ListBullet"/>
        <w:spacing w:after="40"/>
      </w:pPr>
      <w:r>
        <w:rPr>
          <w:rFonts w:ascii="Yu Gothic" w:hAnsi="Yu Gothic" w:eastAsia="Yu Gothic"/>
          <w:color w:val="222222"/>
          <w:sz w:val="21"/>
        </w:rPr>
        <w:t>画像には FLAIR 画像・T1 強調画像・T2 強調画像の 3 モダリティが存在し、組み合わせを比較検討した。</w:t>
      </w:r>
    </w:p>
    <w:p>
      <w:pPr>
        <w:pStyle w:val="Heading2"/>
      </w:pPr>
      <w:r>
        <w:rPr>
          <w:rFonts w:ascii="Yu Gothic" w:hAnsi="Yu Gothic" w:eastAsia="Yu Gothic"/>
          <w:b/>
          <w:color w:val="2E74B5"/>
          <w:sz w:val="24"/>
        </w:rPr>
        <w:t>3.3 手法</w:t>
      </w:r>
    </w:p>
    <w:p>
      <w:pPr>
        <w:pStyle w:val="ListBullet"/>
        <w:spacing w:after="40"/>
      </w:pPr>
      <w:r>
        <w:rPr>
          <w:rFonts w:ascii="Yu Gothic" w:hAnsi="Yu Gothic" w:eastAsia="Yu Gothic"/>
          <w:color w:val="222222"/>
          <w:sz w:val="21"/>
        </w:rPr>
        <w:t>CNN（畳み込みニューラルネットワーク）でグレード（0〜4 の 5 段階）を判別。</w:t>
      </w:r>
    </w:p>
    <w:p>
      <w:pPr>
        <w:pStyle w:val="ListBullet"/>
        <w:spacing w:after="40"/>
      </w:pPr>
      <w:r>
        <w:rPr>
          <w:rFonts w:ascii="Yu Gothic" w:hAnsi="Yu Gothic" w:eastAsia="Yu Gothic"/>
          <w:color w:val="222222"/>
          <w:sz w:val="21"/>
        </w:rPr>
        <w:t>学習・評価に用いるアキシャルの位置と範囲（range）、および入力画像サイズを変化させ、判別性能の変化を系統的に検証。</w:t>
      </w:r>
    </w:p>
    <w:p>
      <w:pPr>
        <w:pStyle w:val="ListBullet"/>
        <w:spacing w:after="40"/>
      </w:pPr>
      <w:r>
        <w:rPr>
          <w:rFonts w:ascii="Yu Gothic" w:hAnsi="Yu Gothic" w:eastAsia="Yu Gothic"/>
          <w:color w:val="222222"/>
          <w:sz w:val="21"/>
        </w:rPr>
        <w:t>健診データとの関連分析として、高血圧・糖尿病・脂質異常症・肥満などの項目をカテゴリ変数化し、共起ネットワーク図で可視化。</w:t>
      </w:r>
    </w:p>
    <w:p>
      <w:pPr>
        <w:pStyle w:val="Heading2"/>
      </w:pPr>
      <w:r>
        <w:rPr>
          <w:rFonts w:ascii="Yu Gothic" w:hAnsi="Yu Gothic" w:eastAsia="Yu Gothic"/>
          <w:b/>
          <w:color w:val="2E74B5"/>
          <w:sz w:val="24"/>
        </w:rPr>
        <w:t>3.4 主な結果</w:t>
      </w:r>
    </w:p>
    <w:p>
      <w:pPr>
        <w:spacing w:after="120" w:line="300" w:lineRule="auto"/>
      </w:pPr>
      <w:r>
        <w:rPr>
          <w:rFonts w:ascii="Yu Gothic" w:hAnsi="Yu Gothic" w:eastAsia="Yu Gothic"/>
          <w:b w:val="0"/>
          <w:color w:val="222222"/>
          <w:sz w:val="21"/>
        </w:rPr>
        <w:t>最も高い判別性能を示したのは、入力画像を 80×80 ピクセル、アキシャル 9〜15（range 7）、FLAIR 画像と T1 強調画像を用いたときで、テストデータでの精度は約 0.92 に達しました。各グレードの AUC は以下のとおりです。</w:t>
      </w:r>
    </w:p>
    <w:tbl>
      <w:tblPr>
        <w:tblStyle w:val="LightGrid-Accent1"/>
        <w:tblW w:type="auto" w:w="0"/>
        <w:jc w:val="center"/>
        <w:tblLook w:firstColumn="1" w:firstRow="1" w:lastColumn="0" w:lastRow="0" w:noHBand="0" w:noVBand="1" w:val="04A0"/>
      </w:tblPr>
      <w:tblGrid>
        <w:gridCol w:w="5000"/>
        <w:gridCol w:w="5000"/>
      </w:tblGrid>
      <w:tr>
        <w:tc>
          <w:tcPr>
            <w:tcW w:type="dxa" w:w="5000"/>
          </w:tcPr>
          <w:p>
            <w:pPr>
              <w:jc w:val="center"/>
            </w:pPr>
            <w:r/>
            <w:r>
              <w:rPr>
                <w:rFonts w:ascii="Yu Gothic" w:hAnsi="Yu Gothic" w:eastAsia="Yu Gothic"/>
                <w:b/>
                <w:color w:val="FFFFFF"/>
                <w:sz w:val="19"/>
              </w:rPr>
              <w:t>グレード</w:t>
            </w:r>
          </w:p>
        </w:tc>
        <w:tc>
          <w:tcPr>
            <w:tcW w:type="dxa" w:w="5000"/>
          </w:tcPr>
          <w:p>
            <w:pPr>
              <w:jc w:val="center"/>
            </w:pPr>
            <w:r/>
            <w:r>
              <w:rPr>
                <w:rFonts w:ascii="Yu Gothic" w:hAnsi="Yu Gothic" w:eastAsia="Yu Gothic"/>
                <w:b/>
                <w:color w:val="FFFFFF"/>
                <w:sz w:val="19"/>
              </w:rPr>
              <w:t>AUC</w:t>
            </w:r>
          </w:p>
        </w:tc>
      </w:tr>
      <w:tr>
        <w:tc>
          <w:tcPr>
            <w:tcW w:type="dxa" w:w="5000"/>
          </w:tcPr>
          <w:p>
            <w:pPr>
              <w:jc w:val="left"/>
            </w:pPr>
            <w:r/>
            <w:r>
              <w:rPr>
                <w:rFonts w:ascii="Yu Gothic" w:hAnsi="Yu Gothic" w:eastAsia="Yu Gothic"/>
                <w:color w:val="222222"/>
                <w:sz w:val="19"/>
              </w:rPr>
              <w:t>grade0</w:t>
            </w:r>
          </w:p>
        </w:tc>
        <w:tc>
          <w:tcPr>
            <w:tcW w:type="dxa" w:w="5000"/>
          </w:tcPr>
          <w:p>
            <w:pPr>
              <w:jc w:val="center"/>
            </w:pPr>
            <w:r/>
            <w:r>
              <w:rPr>
                <w:rFonts w:ascii="Yu Gothic" w:hAnsi="Yu Gothic" w:eastAsia="Yu Gothic"/>
                <w:color w:val="222222"/>
                <w:sz w:val="19"/>
              </w:rPr>
              <w:t>0.9814</w:t>
            </w:r>
          </w:p>
        </w:tc>
      </w:tr>
      <w:tr>
        <w:tc>
          <w:tcPr>
            <w:tcW w:type="dxa" w:w="5000"/>
          </w:tcPr>
          <w:p>
            <w:pPr>
              <w:jc w:val="left"/>
            </w:pPr>
            <w:r/>
            <w:r>
              <w:rPr>
                <w:rFonts w:ascii="Yu Gothic" w:hAnsi="Yu Gothic" w:eastAsia="Yu Gothic"/>
                <w:color w:val="222222"/>
                <w:sz w:val="19"/>
              </w:rPr>
              <w:t>grade1</w:t>
            </w:r>
          </w:p>
        </w:tc>
        <w:tc>
          <w:tcPr>
            <w:tcW w:type="dxa" w:w="5000"/>
          </w:tcPr>
          <w:p>
            <w:pPr>
              <w:jc w:val="center"/>
            </w:pPr>
            <w:r/>
            <w:r>
              <w:rPr>
                <w:rFonts w:ascii="Yu Gothic" w:hAnsi="Yu Gothic" w:eastAsia="Yu Gothic"/>
                <w:color w:val="222222"/>
                <w:sz w:val="19"/>
              </w:rPr>
              <w:t>0.9800</w:t>
            </w:r>
          </w:p>
        </w:tc>
      </w:tr>
      <w:tr>
        <w:tc>
          <w:tcPr>
            <w:tcW w:type="dxa" w:w="5000"/>
          </w:tcPr>
          <w:p>
            <w:pPr>
              <w:jc w:val="left"/>
            </w:pPr>
            <w:r/>
            <w:r>
              <w:rPr>
                <w:rFonts w:ascii="Yu Gothic" w:hAnsi="Yu Gothic" w:eastAsia="Yu Gothic"/>
                <w:color w:val="222222"/>
                <w:sz w:val="19"/>
              </w:rPr>
              <w:t>grade2</w:t>
            </w:r>
          </w:p>
        </w:tc>
        <w:tc>
          <w:tcPr>
            <w:tcW w:type="dxa" w:w="5000"/>
          </w:tcPr>
          <w:p>
            <w:pPr>
              <w:jc w:val="center"/>
            </w:pPr>
            <w:r/>
            <w:r>
              <w:rPr>
                <w:rFonts w:ascii="Yu Gothic" w:hAnsi="Yu Gothic" w:eastAsia="Yu Gothic"/>
                <w:color w:val="222222"/>
                <w:sz w:val="19"/>
              </w:rPr>
              <w:t>0.9905</w:t>
            </w:r>
          </w:p>
        </w:tc>
      </w:tr>
      <w:tr>
        <w:tc>
          <w:tcPr>
            <w:tcW w:type="dxa" w:w="5000"/>
          </w:tcPr>
          <w:p>
            <w:pPr>
              <w:jc w:val="left"/>
            </w:pPr>
            <w:r/>
            <w:r>
              <w:rPr>
                <w:rFonts w:ascii="Yu Gothic" w:hAnsi="Yu Gothic" w:eastAsia="Yu Gothic"/>
                <w:color w:val="222222"/>
                <w:sz w:val="19"/>
              </w:rPr>
              <w:t>grade3</w:t>
            </w:r>
          </w:p>
        </w:tc>
        <w:tc>
          <w:tcPr>
            <w:tcW w:type="dxa" w:w="5000"/>
          </w:tcPr>
          <w:p>
            <w:pPr>
              <w:jc w:val="center"/>
            </w:pPr>
            <w:r/>
            <w:r>
              <w:rPr>
                <w:rFonts w:ascii="Yu Gothic" w:hAnsi="Yu Gothic" w:eastAsia="Yu Gothic"/>
                <w:color w:val="222222"/>
                <w:sz w:val="19"/>
              </w:rPr>
              <w:t>0.9977</w:t>
            </w:r>
          </w:p>
        </w:tc>
      </w:tr>
      <w:tr>
        <w:tc>
          <w:tcPr>
            <w:tcW w:type="dxa" w:w="5000"/>
          </w:tcPr>
          <w:p>
            <w:pPr>
              <w:jc w:val="left"/>
            </w:pPr>
            <w:r/>
            <w:r>
              <w:rPr>
                <w:rFonts w:ascii="Yu Gothic" w:hAnsi="Yu Gothic" w:eastAsia="Yu Gothic"/>
                <w:color w:val="222222"/>
                <w:sz w:val="19"/>
              </w:rPr>
              <w:t>grade4</w:t>
            </w:r>
          </w:p>
        </w:tc>
        <w:tc>
          <w:tcPr>
            <w:tcW w:type="dxa" w:w="5000"/>
          </w:tcPr>
          <w:p>
            <w:pPr>
              <w:jc w:val="center"/>
            </w:pPr>
            <w:r/>
            <w:r>
              <w:rPr>
                <w:rFonts w:ascii="Yu Gothic" w:hAnsi="Yu Gothic" w:eastAsia="Yu Gothic"/>
                <w:color w:val="222222"/>
                <w:sz w:val="19"/>
              </w:rPr>
              <w:t>0.9998</w:t>
            </w:r>
          </w:p>
        </w:tc>
      </w:tr>
    </w:tbl>
    <w:p>
      <w:pPr>
        <w:spacing w:after="80"/>
      </w:pPr>
    </w:p>
    <w:p>
      <w:pPr>
        <w:spacing w:after="120" w:line="300" w:lineRule="auto"/>
      </w:pPr>
      <w:r>
        <w:rPr>
          <w:rFonts w:ascii="Yu Gothic" w:hAnsi="Yu Gothic" w:eastAsia="Yu Gothic"/>
          <w:b w:val="0"/>
          <w:color w:val="222222"/>
          <w:sz w:val="21"/>
        </w:rPr>
        <w:t>また共起ネットワーク図からは、大脳白質病変が進行した患者ほど正常血圧から遠く、II 度・III 度高血圧に近い位置に分布し、病変の進行度と高血圧の重症度に関連がある傾向が示唆されました。</w:t>
      </w:r>
    </w:p>
    <w:p>
      <w:pPr>
        <w:pStyle w:val="Heading2"/>
      </w:pPr>
      <w:r>
        <w:rPr>
          <w:rFonts w:ascii="Yu Gothic" w:hAnsi="Yu Gothic" w:eastAsia="Yu Gothic"/>
          <w:b/>
          <w:color w:val="2E74B5"/>
          <w:sz w:val="24"/>
        </w:rPr>
        <w:t>3.5 考察と残された課題</w:t>
      </w:r>
    </w:p>
    <w:p>
      <w:pPr>
        <w:pStyle w:val="ListBullet"/>
        <w:spacing w:after="40"/>
      </w:pPr>
      <w:r>
        <w:rPr>
          <w:rFonts w:ascii="Yu Gothic" w:hAnsi="Yu Gothic" w:eastAsia="Yu Gothic"/>
          <w:color w:val="222222"/>
          <w:sz w:val="21"/>
        </w:rPr>
        <w:t>range（使用アキシャル数）が大きいほど学習画像数が増え精度が上がる一方、病変の写らない頭頂部・眼球側を含めると精度が低下した。</w:t>
      </w:r>
    </w:p>
    <w:p>
      <w:pPr>
        <w:pStyle w:val="ListBullet"/>
        <w:spacing w:after="40"/>
      </w:pPr>
      <w:r>
        <w:rPr>
          <w:rFonts w:ascii="Yu Gothic" w:hAnsi="Yu Gothic" w:eastAsia="Yu Gothic"/>
          <w:color w:val="222222"/>
          <w:sz w:val="21"/>
        </w:rPr>
        <w:t>エポック 25 付近から学習データと評価データの精度・損失に差が生じ、過学習の傾向が見られた。</w:t>
      </w:r>
    </w:p>
    <w:p>
      <w:pPr>
        <w:pStyle w:val="ListBullet"/>
        <w:spacing w:after="40"/>
      </w:pPr>
      <w:r>
        <w:rPr>
          <w:rFonts w:ascii="Yu Gothic" w:hAnsi="Yu Gothic" w:eastAsia="Yu Gothic"/>
          <w:color w:val="222222"/>
          <w:sz w:val="21"/>
        </w:rPr>
        <w:t>診断自動化の観点では精度になお課題が残る。より幅広い健診項目（降圧剤等の薬剤使用、脳梗塞の既往歴など）との関連検討も今後の課題として残った。</w:t>
      </w:r>
    </w:p>
    <w:p>
      <w:pPr>
        <w:pStyle w:val="Heading1"/>
      </w:pPr>
      <w:r>
        <w:rPr>
          <w:rFonts w:ascii="Yu Gothic" w:hAnsi="Yu Gothic" w:eastAsia="Yu Gothic"/>
          <w:b/>
          <w:color w:val="1F3B63"/>
          <w:sz w:val="29"/>
        </w:rPr>
        <w:t>4. 大学院での研究の発展：ViT の導入と患者単位分割による再検証</w:t>
      </w:r>
    </w:p>
    <w:p>
      <w:pPr>
        <w:pStyle w:val="Heading2"/>
      </w:pPr>
      <w:r>
        <w:rPr>
          <w:rFonts w:ascii="Yu Gothic" w:hAnsi="Yu Gothic" w:eastAsia="Yu Gothic"/>
          <w:b/>
          <w:color w:val="2E74B5"/>
          <w:sz w:val="24"/>
        </w:rPr>
        <w:t>4.1 問題意識 ― データリーケージの発見</w:t>
      </w:r>
    </w:p>
    <w:p>
      <w:pPr>
        <w:spacing w:after="120" w:line="300" w:lineRule="auto"/>
      </w:pPr>
      <w:r>
        <w:rPr>
          <w:rFonts w:ascii="Yu Gothic" w:hAnsi="Yu Gothic" w:eastAsia="Yu Gothic"/>
          <w:b w:val="0"/>
          <w:color w:val="222222"/>
          <w:sz w:val="21"/>
        </w:rPr>
        <w:t>研究を発展させる過程で、学部研究の評価設定に重大な問題があることに気付きました。従来は画像単位でデータを train/test 分割していましたが、大脳白質病変のラベルは「患者単位」で付与されます（1 人の患者の約 46 枚すべてのスライスが同一グレード。全 1154 患者が単一ラベルであることを確認）。そのため画像単位分割では、評価データの患者のほぼ全員（検証 289 患者のうち大多数）が学習データにも含まれており、高い精度は「未知の患者に対する汎化」ではなく「学習済み患者の記憶」を測っていたことが分かりました。</w:t>
      </w:r>
    </w:p>
    <w:p>
      <w:pPr>
        <w:pStyle w:val="Heading2"/>
      </w:pPr>
      <w:r>
        <w:rPr>
          <w:rFonts w:ascii="Yu Gothic" w:hAnsi="Yu Gothic" w:eastAsia="Yu Gothic"/>
          <w:b/>
          <w:color w:val="2E74B5"/>
          <w:sz w:val="24"/>
        </w:rPr>
        <w:t>4.2 研究の経過（実験ステップ）</w:t>
      </w:r>
    </w:p>
    <w:p>
      <w:pPr>
        <w:spacing w:after="120" w:line="300" w:lineRule="auto"/>
      </w:pPr>
      <w:r>
        <w:rPr>
          <w:rFonts w:ascii="Yu Gothic" w:hAnsi="Yu Gothic" w:eastAsia="Yu Gothic"/>
          <w:b w:val="0"/>
          <w:color w:val="222222"/>
          <w:sz w:val="21"/>
        </w:rPr>
        <w:t>問題の発見後、評価の妥当性を担保しながら、以下の手順で段階的に実験を進めました。</w:t>
      </w:r>
    </w:p>
    <w:p>
      <w:pPr>
        <w:pStyle w:val="ListBullet"/>
        <w:spacing w:after="40"/>
      </w:pPr>
      <w:r>
        <w:rPr>
          <w:rFonts w:ascii="Yu Gothic" w:hAnsi="Yu Gothic" w:eastAsia="Yu Gothic"/>
          <w:b/>
          <w:color w:val="222222"/>
          <w:sz w:val="21"/>
        </w:rPr>
        <w:t>① 患者単位分割の導入：</w:t>
      </w:r>
      <w:r>
        <w:rPr>
          <w:rFonts w:ascii="Yu Gothic" w:hAnsi="Yu Gothic" w:eastAsia="Yu Gothic"/>
          <w:b w:val="0"/>
          <w:color w:val="222222"/>
          <w:sz w:val="21"/>
        </w:rPr>
        <w:t>患者リーケージ 0（学習 865 患者 / 検証 289 患者）で再分割。厳密な評価に切り替えると精度は約 0.92 から約 0.5 へ低下し、真の難易度が明らかになった（多数派ベースライン精度 ≒ 0.48）。</w:t>
      </w:r>
    </w:p>
    <w:p>
      <w:pPr>
        <w:pStyle w:val="ListBullet"/>
        <w:spacing w:after="40"/>
      </w:pPr>
      <w:r>
        <w:rPr>
          <w:rFonts w:ascii="Yu Gothic" w:hAnsi="Yu Gothic" w:eastAsia="Yu Gothic"/>
          <w:b/>
          <w:color w:val="222222"/>
          <w:sz w:val="21"/>
        </w:rPr>
        <w:t>② クラス不均衡の把握：</w:t>
      </w:r>
      <w:r>
        <w:rPr>
          <w:rFonts w:ascii="Yu Gothic" w:hAnsi="Yu Gothic" w:eastAsia="Yu Gothic"/>
          <w:b w:val="0"/>
          <w:color w:val="222222"/>
          <w:sz w:val="21"/>
        </w:rPr>
        <w:t>患者単位のグレード分布は grade0=557・1=444・2=106・3=39・4=8 と極端な不均衡。特に grade4 は全 8 患者しかない。</w:t>
      </w:r>
    </w:p>
    <w:p>
      <w:pPr>
        <w:pStyle w:val="ListBullet"/>
        <w:spacing w:after="40"/>
      </w:pPr>
      <w:r>
        <w:rPr>
          <w:rFonts w:ascii="Yu Gothic" w:hAnsi="Yu Gothic" w:eastAsia="Yu Gothic"/>
          <w:b/>
          <w:color w:val="222222"/>
          <w:sz w:val="21"/>
        </w:rPr>
        <w:t>③ 3 クラス統合：</w:t>
      </w:r>
      <w:r>
        <w:rPr>
          <w:rFonts w:ascii="Yu Gothic" w:hAnsi="Yu Gothic" w:eastAsia="Yu Gothic"/>
          <w:b w:val="0"/>
          <w:color w:val="222222"/>
          <w:sz w:val="21"/>
        </w:rPr>
        <w:t>grade0 / 1 / 2+（2 以上を統合）に再定義したところ、macro-F1 がほぼ倍増（CNN で 0.258 → 0.489）し、少数クラスの予測崩壊を回避できた。</w:t>
      </w:r>
    </w:p>
    <w:p>
      <w:pPr>
        <w:pStyle w:val="ListBullet"/>
        <w:spacing w:after="40"/>
      </w:pPr>
      <w:r>
        <w:rPr>
          <w:rFonts w:ascii="Yu Gothic" w:hAnsi="Yu Gothic" w:eastAsia="Yu Gothic"/>
          <w:b/>
          <w:color w:val="222222"/>
          <w:sz w:val="21"/>
        </w:rPr>
        <w:t>④ クラス重み付けの検証：</w:t>
      </w:r>
      <w:r>
        <w:rPr>
          <w:rFonts w:ascii="Yu Gothic" w:hAnsi="Yu Gothic" w:eastAsia="Yu Gothic"/>
          <w:b w:val="0"/>
          <w:color w:val="222222"/>
          <w:sz w:val="21"/>
        </w:rPr>
        <w:t>class-balanced loss 単独で検証。3 クラス化後は不均衡が緩和済みのため改善は見られず（崩壊もせず）、重み付けは不要と結論。過補正手法の重ねがけが崩壊を招く教訓も得た。</w:t>
      </w:r>
    </w:p>
    <w:p>
      <w:pPr>
        <w:pStyle w:val="ListBullet"/>
        <w:spacing w:after="40"/>
      </w:pPr>
      <w:r>
        <w:rPr>
          <w:rFonts w:ascii="Yu Gothic" w:hAnsi="Yu Gothic" w:eastAsia="Yu Gothic"/>
          <w:b/>
          <w:color w:val="222222"/>
          <w:sz w:val="21"/>
        </w:rPr>
        <w:t>⑤ 患者単位集約評価：</w:t>
      </w:r>
      <w:r>
        <w:rPr>
          <w:rFonts w:ascii="Yu Gothic" w:hAnsi="Yu Gothic" w:eastAsia="Yu Gothic"/>
          <w:b w:val="0"/>
          <w:color w:val="222222"/>
          <w:sz w:val="21"/>
        </w:rPr>
        <w:t>スライス単位の予測を患者単位に集約（mean / max_confidence / attention 等）することで、特に AUC が改善することを確認。</w:t>
      </w:r>
    </w:p>
    <w:p>
      <w:pPr>
        <w:pStyle w:val="ListBullet"/>
        <w:spacing w:after="40"/>
      </w:pPr>
      <w:r>
        <w:rPr>
          <w:rFonts w:ascii="Yu Gothic" w:hAnsi="Yu Gothic" w:eastAsia="Yu Gothic"/>
          <w:b/>
          <w:color w:val="222222"/>
          <w:sz w:val="21"/>
        </w:rPr>
        <w:t>⑥ アキシャル 9〜15 への限定：</w:t>
      </w:r>
      <w:r>
        <w:rPr>
          <w:rFonts w:ascii="Yu Gothic" w:hAnsi="Yu Gothic" w:eastAsia="Yu Gothic"/>
          <w:b w:val="0"/>
          <w:color w:val="222222"/>
          <w:sz w:val="21"/>
        </w:rPr>
        <w:t>病変が写りにくい周辺スライスを除くことで、少数クラス（grade2+）の recall が 0.179 → 0.410（集約法により最大 0.513）へ大幅改善。</w:t>
      </w:r>
    </w:p>
    <w:p>
      <w:pPr>
        <w:pStyle w:val="Heading2"/>
      </w:pPr>
      <w:r>
        <w:rPr>
          <w:rFonts w:ascii="Yu Gothic" w:hAnsi="Yu Gothic" w:eastAsia="Yu Gothic"/>
          <w:b/>
          <w:color w:val="2E74B5"/>
          <w:sz w:val="24"/>
        </w:rPr>
        <w:t>4.3 主要な結果（患者単位・3 クラス・mean 集約）</w:t>
      </w:r>
    </w:p>
    <w:tbl>
      <w:tblPr>
        <w:tblStyle w:val="LightGrid-Accent1"/>
        <w:tblW w:type="auto" w:w="0"/>
        <w:jc w:val="center"/>
        <w:tblLook w:firstColumn="1" w:firstRow="1" w:lastColumn="0" w:lastRow="0" w:noHBand="0" w:noVBand="1" w:val="04A0"/>
      </w:tblPr>
      <w:tblGrid>
        <w:gridCol w:w="1667"/>
        <w:gridCol w:w="1667"/>
        <w:gridCol w:w="1667"/>
        <w:gridCol w:w="1667"/>
        <w:gridCol w:w="1667"/>
        <w:gridCol w:w="1667"/>
      </w:tblGrid>
      <w:tr>
        <w:tc>
          <w:tcPr>
            <w:tcW w:type="dxa" w:w="1667"/>
          </w:tcPr>
          <w:p>
            <w:pPr>
              <w:jc w:val="center"/>
            </w:pPr>
            <w:r/>
            <w:r>
              <w:rPr>
                <w:rFonts w:ascii="Yu Gothic" w:hAnsi="Yu Gothic" w:eastAsia="Yu Gothic"/>
                <w:b/>
                <w:color w:val="FFFFFF"/>
                <w:sz w:val="19"/>
              </w:rPr>
              <w:t>実験条件</w:t>
            </w:r>
          </w:p>
        </w:tc>
        <w:tc>
          <w:tcPr>
            <w:tcW w:type="dxa" w:w="1667"/>
          </w:tcPr>
          <w:p>
            <w:pPr>
              <w:jc w:val="center"/>
            </w:pPr>
            <w:r/>
            <w:r>
              <w:rPr>
                <w:rFonts w:ascii="Yu Gothic" w:hAnsi="Yu Gothic" w:eastAsia="Yu Gothic"/>
                <w:b/>
                <w:color w:val="FFFFFF"/>
                <w:sz w:val="19"/>
              </w:rPr>
              <w:t>モデル</w:t>
            </w:r>
          </w:p>
        </w:tc>
        <w:tc>
          <w:tcPr>
            <w:tcW w:type="dxa" w:w="1667"/>
          </w:tcPr>
          <w:p>
            <w:pPr>
              <w:jc w:val="center"/>
            </w:pPr>
            <w:r/>
            <w:r>
              <w:rPr>
                <w:rFonts w:ascii="Yu Gothic" w:hAnsi="Yu Gothic" w:eastAsia="Yu Gothic"/>
                <w:b/>
                <w:color w:val="FFFFFF"/>
                <w:sz w:val="19"/>
              </w:rPr>
              <w:t>Acc</w:t>
            </w:r>
          </w:p>
        </w:tc>
        <w:tc>
          <w:tcPr>
            <w:tcW w:type="dxa" w:w="1667"/>
          </w:tcPr>
          <w:p>
            <w:pPr>
              <w:jc w:val="center"/>
            </w:pPr>
            <w:r/>
            <w:r>
              <w:rPr>
                <w:rFonts w:ascii="Yu Gothic" w:hAnsi="Yu Gothic" w:eastAsia="Yu Gothic"/>
                <w:b/>
                <w:color w:val="FFFFFF"/>
                <w:sz w:val="19"/>
              </w:rPr>
              <w:t>macro-F1</w:t>
            </w:r>
          </w:p>
        </w:tc>
        <w:tc>
          <w:tcPr>
            <w:tcW w:type="dxa" w:w="1667"/>
          </w:tcPr>
          <w:p>
            <w:pPr>
              <w:jc w:val="center"/>
            </w:pPr>
            <w:r/>
            <w:r>
              <w:rPr>
                <w:rFonts w:ascii="Yu Gothic" w:hAnsi="Yu Gothic" w:eastAsia="Yu Gothic"/>
                <w:b/>
                <w:color w:val="FFFFFF"/>
                <w:sz w:val="19"/>
              </w:rPr>
              <w:t>AUC</w:t>
            </w:r>
          </w:p>
        </w:tc>
        <w:tc>
          <w:tcPr>
            <w:tcW w:type="dxa" w:w="1667"/>
          </w:tcPr>
          <w:p>
            <w:pPr>
              <w:jc w:val="center"/>
            </w:pPr>
            <w:r/>
            <w:r>
              <w:rPr>
                <w:rFonts w:ascii="Yu Gothic" w:hAnsi="Yu Gothic" w:eastAsia="Yu Gothic"/>
                <w:b/>
                <w:color w:val="FFFFFF"/>
                <w:sz w:val="19"/>
              </w:rPr>
              <w:t>grade2+ recall</w:t>
            </w:r>
          </w:p>
        </w:tc>
      </w:tr>
      <w:tr>
        <w:tc>
          <w:tcPr>
            <w:tcW w:type="dxa" w:w="1667"/>
          </w:tcPr>
          <w:p>
            <w:pPr>
              <w:jc w:val="left"/>
            </w:pPr>
            <w:r/>
            <w:r>
              <w:rPr>
                <w:rFonts w:ascii="Yu Gothic" w:hAnsi="Yu Gothic" w:eastAsia="Yu Gothic"/>
                <w:color w:val="222222"/>
                <w:sz w:val="19"/>
              </w:rPr>
              <w:t>3 クラス 全アキシャル</w:t>
            </w:r>
          </w:p>
        </w:tc>
        <w:tc>
          <w:tcPr>
            <w:tcW w:type="dxa" w:w="1667"/>
          </w:tcPr>
          <w:p>
            <w:pPr>
              <w:jc w:val="center"/>
            </w:pPr>
            <w:r/>
            <w:r>
              <w:rPr>
                <w:rFonts w:ascii="Yu Gothic" w:hAnsi="Yu Gothic" w:eastAsia="Yu Gothic"/>
                <w:color w:val="222222"/>
                <w:sz w:val="19"/>
              </w:rPr>
              <w:t>CNN (ResNet18)</w:t>
            </w:r>
          </w:p>
        </w:tc>
        <w:tc>
          <w:tcPr>
            <w:tcW w:type="dxa" w:w="1667"/>
          </w:tcPr>
          <w:p>
            <w:pPr>
              <w:jc w:val="center"/>
            </w:pPr>
            <w:r/>
            <w:r>
              <w:rPr>
                <w:rFonts w:ascii="Yu Gothic" w:hAnsi="Yu Gothic" w:eastAsia="Yu Gothic"/>
                <w:color w:val="222222"/>
                <w:sz w:val="19"/>
              </w:rPr>
              <w:t>0.578</w:t>
            </w:r>
          </w:p>
        </w:tc>
        <w:tc>
          <w:tcPr>
            <w:tcW w:type="dxa" w:w="1667"/>
          </w:tcPr>
          <w:p>
            <w:pPr>
              <w:jc w:val="center"/>
            </w:pPr>
            <w:r/>
            <w:r>
              <w:rPr>
                <w:rFonts w:ascii="Yu Gothic" w:hAnsi="Yu Gothic" w:eastAsia="Yu Gothic"/>
                <w:color w:val="222222"/>
                <w:sz w:val="19"/>
              </w:rPr>
              <w:t>0.489</w:t>
            </w:r>
          </w:p>
        </w:tc>
        <w:tc>
          <w:tcPr>
            <w:tcW w:type="dxa" w:w="1667"/>
          </w:tcPr>
          <w:p>
            <w:pPr>
              <w:jc w:val="center"/>
            </w:pPr>
            <w:r/>
            <w:r>
              <w:rPr>
                <w:rFonts w:ascii="Yu Gothic" w:hAnsi="Yu Gothic" w:eastAsia="Yu Gothic"/>
                <w:color w:val="222222"/>
                <w:sz w:val="19"/>
              </w:rPr>
              <w:t>0.721</w:t>
            </w:r>
          </w:p>
        </w:tc>
        <w:tc>
          <w:tcPr>
            <w:tcW w:type="dxa" w:w="1667"/>
          </w:tcPr>
          <w:p>
            <w:pPr>
              <w:jc w:val="center"/>
            </w:pPr>
            <w:r/>
            <w:r>
              <w:rPr>
                <w:rFonts w:ascii="Yu Gothic" w:hAnsi="Yu Gothic" w:eastAsia="Yu Gothic"/>
                <w:color w:val="222222"/>
                <w:sz w:val="19"/>
              </w:rPr>
              <w:t>0.179</w:t>
            </w:r>
          </w:p>
        </w:tc>
      </w:tr>
      <w:tr>
        <w:tc>
          <w:tcPr>
            <w:tcW w:type="dxa" w:w="1667"/>
          </w:tcPr>
          <w:p>
            <w:pPr>
              <w:jc w:val="left"/>
            </w:pPr>
            <w:r/>
            <w:r>
              <w:rPr>
                <w:rFonts w:ascii="Yu Gothic" w:hAnsi="Yu Gothic" w:eastAsia="Yu Gothic"/>
                <w:color w:val="222222"/>
                <w:sz w:val="19"/>
              </w:rPr>
              <w:t>3 クラス 全アキシャル</w:t>
            </w:r>
          </w:p>
        </w:tc>
        <w:tc>
          <w:tcPr>
            <w:tcW w:type="dxa" w:w="1667"/>
          </w:tcPr>
          <w:p>
            <w:pPr>
              <w:jc w:val="center"/>
            </w:pPr>
            <w:r/>
            <w:r>
              <w:rPr>
                <w:rFonts w:ascii="Yu Gothic" w:hAnsi="Yu Gothic" w:eastAsia="Yu Gothic"/>
                <w:color w:val="222222"/>
                <w:sz w:val="19"/>
              </w:rPr>
              <w:t>ViT (vit_base)</w:t>
            </w:r>
          </w:p>
        </w:tc>
        <w:tc>
          <w:tcPr>
            <w:tcW w:type="dxa" w:w="1667"/>
          </w:tcPr>
          <w:p>
            <w:pPr>
              <w:jc w:val="center"/>
            </w:pPr>
            <w:r/>
            <w:r>
              <w:rPr>
                <w:rFonts w:ascii="Yu Gothic" w:hAnsi="Yu Gothic" w:eastAsia="Yu Gothic"/>
                <w:color w:val="222222"/>
                <w:sz w:val="19"/>
              </w:rPr>
              <w:t>0.519</w:t>
            </w:r>
          </w:p>
        </w:tc>
        <w:tc>
          <w:tcPr>
            <w:tcW w:type="dxa" w:w="1667"/>
          </w:tcPr>
          <w:p>
            <w:pPr>
              <w:jc w:val="center"/>
            </w:pPr>
            <w:r/>
            <w:r>
              <w:rPr>
                <w:rFonts w:ascii="Yu Gothic" w:hAnsi="Yu Gothic" w:eastAsia="Yu Gothic"/>
                <w:color w:val="222222"/>
                <w:sz w:val="19"/>
              </w:rPr>
              <w:t>0.411</w:t>
            </w:r>
          </w:p>
        </w:tc>
        <w:tc>
          <w:tcPr>
            <w:tcW w:type="dxa" w:w="1667"/>
          </w:tcPr>
          <w:p>
            <w:pPr>
              <w:jc w:val="center"/>
            </w:pPr>
            <w:r/>
            <w:r>
              <w:rPr>
                <w:rFonts w:ascii="Yu Gothic" w:hAnsi="Yu Gothic" w:eastAsia="Yu Gothic"/>
                <w:color w:val="222222"/>
                <w:sz w:val="19"/>
              </w:rPr>
              <w:t>0.640</w:t>
            </w:r>
          </w:p>
        </w:tc>
        <w:tc>
          <w:tcPr>
            <w:tcW w:type="dxa" w:w="1667"/>
          </w:tcPr>
          <w:p>
            <w:pPr>
              <w:jc w:val="center"/>
            </w:pPr>
            <w:r/>
            <w:r>
              <w:rPr>
                <w:rFonts w:ascii="Yu Gothic" w:hAnsi="Yu Gothic" w:eastAsia="Yu Gothic"/>
                <w:color w:val="222222"/>
                <w:sz w:val="19"/>
              </w:rPr>
              <w:t>0.103</w:t>
            </w:r>
          </w:p>
        </w:tc>
      </w:tr>
      <w:tr>
        <w:tc>
          <w:tcPr>
            <w:tcW w:type="dxa" w:w="1667"/>
          </w:tcPr>
          <w:p>
            <w:pPr>
              <w:jc w:val="left"/>
            </w:pPr>
            <w:r/>
            <w:r>
              <w:rPr>
                <w:rFonts w:ascii="Yu Gothic" w:hAnsi="Yu Gothic" w:eastAsia="Yu Gothic"/>
                <w:color w:val="222222"/>
                <w:sz w:val="19"/>
              </w:rPr>
              <w:t>3 クラス アキシャル9-15</w:t>
            </w:r>
          </w:p>
        </w:tc>
        <w:tc>
          <w:tcPr>
            <w:tcW w:type="dxa" w:w="1667"/>
          </w:tcPr>
          <w:p>
            <w:pPr>
              <w:jc w:val="center"/>
            </w:pPr>
            <w:r/>
            <w:r>
              <w:rPr>
                <w:rFonts w:ascii="Yu Gothic" w:hAnsi="Yu Gothic" w:eastAsia="Yu Gothic"/>
                <w:color w:val="222222"/>
                <w:sz w:val="19"/>
              </w:rPr>
              <w:t>CNN (ResNet18)</w:t>
            </w:r>
          </w:p>
        </w:tc>
        <w:tc>
          <w:tcPr>
            <w:tcW w:type="dxa" w:w="1667"/>
          </w:tcPr>
          <w:p>
            <w:pPr>
              <w:jc w:val="center"/>
            </w:pPr>
            <w:r/>
            <w:r>
              <w:rPr>
                <w:rFonts w:ascii="Yu Gothic" w:hAnsi="Yu Gothic" w:eastAsia="Yu Gothic"/>
                <w:color w:val="222222"/>
                <w:sz w:val="19"/>
              </w:rPr>
              <w:t>0.564</w:t>
            </w:r>
          </w:p>
        </w:tc>
        <w:tc>
          <w:tcPr>
            <w:tcW w:type="dxa" w:w="1667"/>
          </w:tcPr>
          <w:p>
            <w:pPr>
              <w:jc w:val="center"/>
            </w:pPr>
            <w:r/>
            <w:r>
              <w:rPr>
                <w:rFonts w:ascii="Yu Gothic" w:hAnsi="Yu Gothic" w:eastAsia="Yu Gothic"/>
                <w:color w:val="222222"/>
                <w:sz w:val="19"/>
              </w:rPr>
              <w:t>0.496</w:t>
            </w:r>
          </w:p>
        </w:tc>
        <w:tc>
          <w:tcPr>
            <w:tcW w:type="dxa" w:w="1667"/>
          </w:tcPr>
          <w:p>
            <w:pPr>
              <w:jc w:val="center"/>
            </w:pPr>
            <w:r/>
            <w:r>
              <w:rPr>
                <w:rFonts w:ascii="Yu Gothic" w:hAnsi="Yu Gothic" w:eastAsia="Yu Gothic"/>
                <w:color w:val="222222"/>
                <w:sz w:val="19"/>
              </w:rPr>
              <w:t>0.701</w:t>
            </w:r>
          </w:p>
        </w:tc>
        <w:tc>
          <w:tcPr>
            <w:tcW w:type="dxa" w:w="1667"/>
          </w:tcPr>
          <w:p>
            <w:pPr>
              <w:jc w:val="center"/>
            </w:pPr>
            <w:r/>
            <w:r>
              <w:rPr>
                <w:rFonts w:ascii="Yu Gothic" w:hAnsi="Yu Gothic" w:eastAsia="Yu Gothic"/>
                <w:color w:val="222222"/>
                <w:sz w:val="19"/>
              </w:rPr>
              <w:t>0.410</w:t>
            </w:r>
          </w:p>
        </w:tc>
      </w:tr>
    </w:tbl>
    <w:p>
      <w:pPr>
        <w:spacing w:after="80"/>
      </w:pPr>
    </w:p>
    <w:p>
      <w:pPr>
        <w:pStyle w:val="Heading2"/>
      </w:pPr>
      <w:r>
        <w:rPr>
          <w:rFonts w:ascii="Yu Gothic" w:hAnsi="Yu Gothic" w:eastAsia="Yu Gothic"/>
          <w:b/>
          <w:color w:val="2E74B5"/>
          <w:sz w:val="24"/>
        </w:rPr>
        <w:t>4.4 得られた主要な知見と現在の到達点</w:t>
      </w:r>
    </w:p>
    <w:p>
      <w:pPr>
        <w:pStyle w:val="ListBullet"/>
        <w:spacing w:after="40"/>
      </w:pPr>
      <w:r>
        <w:rPr>
          <w:rFonts w:ascii="Yu Gothic" w:hAnsi="Yu Gothic" w:eastAsia="Yu Gothic"/>
          <w:color w:val="222222"/>
          <w:sz w:val="21"/>
        </w:rPr>
        <w:t>評価設計そのものが結論を左右する。患者単位分割の導入により、臨床応用を見据えた「正しい難易度」で議論できるようになった。</w:t>
      </w:r>
    </w:p>
    <w:p>
      <w:pPr>
        <w:pStyle w:val="ListBullet"/>
        <w:spacing w:after="40"/>
      </w:pPr>
      <w:r>
        <w:rPr>
          <w:rFonts w:ascii="Yu Gothic" w:hAnsi="Yu Gothic" w:eastAsia="Yu Gothic"/>
          <w:color w:val="222222"/>
          <w:sz w:val="21"/>
        </w:rPr>
        <w:t>5 クラス → 3 クラス統合と周辺スライス除去が、少数クラス検出に有効であることを定量的に示した。</w:t>
      </w:r>
    </w:p>
    <w:p>
      <w:pPr>
        <w:pStyle w:val="ListBullet"/>
        <w:spacing w:after="40"/>
      </w:pPr>
      <w:r>
        <w:rPr>
          <w:rFonts w:ascii="Yu Gothic" w:hAnsi="Yu Gothic" w:eastAsia="Yu Gothic"/>
          <w:color w:val="222222"/>
          <w:sz w:val="21"/>
        </w:rPr>
        <w:t>現行の再現条件（80px = 5×5 トークン、RMSprop、data augmentation なし、大型の vit_base）は ViT に構造的に不利であり、全条件で CNN が ViT を上回っている。</w:t>
      </w:r>
    </w:p>
    <w:p>
      <w:pPr>
        <w:pStyle w:val="ListBullet"/>
        <w:spacing w:after="40"/>
      </w:pPr>
      <w:r>
        <w:rPr>
          <w:rFonts w:ascii="Yu Gothic" w:hAnsi="Yu Gothic" w:eastAsia="Yu Gothic"/>
          <w:color w:val="222222"/>
          <w:sz w:val="21"/>
        </w:rPr>
        <w:t>そこで現在は、ViT の強みを引き出す公平な設定（224px 入力、AdamW、data augmentation、DeiT/ViT-small 等の軽量バックボーン）で再評価を進めている。</w:t>
      </w:r>
    </w:p>
    <w:p>
      <w:pPr>
        <w:pStyle w:val="Heading1"/>
      </w:pPr>
      <w:r>
        <w:rPr>
          <w:rFonts w:ascii="Yu Gothic" w:hAnsi="Yu Gothic" w:eastAsia="Yu Gothic"/>
          <w:b/>
          <w:color w:val="1F3B63"/>
          <w:sz w:val="29"/>
        </w:rPr>
        <w:t>5. 大学院で取り組みたい研究テーマと展望</w:t>
      </w:r>
    </w:p>
    <w:p>
      <w:pPr>
        <w:pStyle w:val="ListBullet"/>
        <w:spacing w:after="40"/>
      </w:pPr>
      <w:r>
        <w:rPr>
          <w:rFonts w:ascii="Yu Gothic" w:hAnsi="Yu Gothic" w:eastAsia="Yu Gothic"/>
          <w:color w:val="222222"/>
          <w:sz w:val="21"/>
        </w:rPr>
        <w:t>ViT に適した学習設定・軽量アーキテクチャの検討により、CNN と公平かつ十分な条件で比較し、Transformer 系モデルの有効性を明らかにする。</w:t>
      </w:r>
    </w:p>
    <w:p>
      <w:pPr>
        <w:pStyle w:val="ListBullet"/>
        <w:spacing w:after="40"/>
      </w:pPr>
      <w:r>
        <w:rPr>
          <w:rFonts w:ascii="Yu Gothic" w:hAnsi="Yu Gothic" w:eastAsia="Yu Gothic"/>
          <w:color w:val="222222"/>
          <w:sz w:val="21"/>
        </w:rPr>
        <w:t>Attention 機構を用いて、判別根拠となる脳内部位（病変領域）を可視化し、判別の説明可能性（医療における納得性）を高める。</w:t>
      </w:r>
    </w:p>
    <w:p>
      <w:pPr>
        <w:pStyle w:val="ListBullet"/>
        <w:spacing w:after="40"/>
      </w:pPr>
      <w:r>
        <w:rPr>
          <w:rFonts w:ascii="Yu Gothic" w:hAnsi="Yu Gothic" w:eastAsia="Yu Gothic"/>
          <w:color w:val="222222"/>
          <w:sz w:val="21"/>
        </w:rPr>
        <w:t>極端なクラス不均衡・少数症例に頑健な学習手法（適切な集約・損失設計）の確立。</w:t>
      </w:r>
    </w:p>
    <w:p>
      <w:pPr>
        <w:pStyle w:val="ListBullet"/>
        <w:spacing w:after="40"/>
      </w:pPr>
      <w:r>
        <w:rPr>
          <w:rFonts w:ascii="Yu Gothic" w:hAnsi="Yu Gothic" w:eastAsia="Yu Gothic"/>
          <w:color w:val="222222"/>
          <w:sz w:val="21"/>
        </w:rPr>
        <w:t>MRI 画像と健診データ（血圧・生化学検査等）を統合したマルチモーダルな予測・リスク評価への拡張。</w:t>
      </w:r>
    </w:p>
    <w:p>
      <w:pPr>
        <w:pStyle w:val="ListBullet"/>
        <w:spacing w:after="40"/>
      </w:pPr>
      <w:r>
        <w:rPr>
          <w:rFonts w:ascii="Yu Gothic" w:hAnsi="Yu Gothic" w:eastAsia="Yu Gothic"/>
          <w:color w:val="222222"/>
          <w:sz w:val="21"/>
        </w:rPr>
        <w:t>最終的に、大脳白質病変の診断支援に資する、汎化性能と説明可能性を両立したモデルの構築を目指す。</w:t>
      </w:r>
    </w:p>
    <w:p>
      <w:pPr>
        <w:pStyle w:val="Heading1"/>
      </w:pPr>
      <w:r>
        <w:rPr>
          <w:rFonts w:ascii="Yu Gothic" w:hAnsi="Yu Gothic" w:eastAsia="Yu Gothic"/>
          <w:b/>
          <w:color w:val="1F3B63"/>
          <w:sz w:val="29"/>
        </w:rPr>
        <w:t>6. 研究を通じて習得した知識・技術</w:t>
      </w:r>
    </w:p>
    <w:p>
      <w:pPr>
        <w:pStyle w:val="ListBullet"/>
        <w:spacing w:after="40"/>
      </w:pPr>
      <w:r>
        <w:rPr>
          <w:rFonts w:ascii="Yu Gothic" w:hAnsi="Yu Gothic" w:eastAsia="Yu Gothic"/>
          <w:b/>
          <w:color w:val="222222"/>
          <w:sz w:val="21"/>
        </w:rPr>
        <w:t>プログラミング／深層学習：</w:t>
      </w:r>
      <w:r>
        <w:rPr>
          <w:rFonts w:ascii="Yu Gothic" w:hAnsi="Yu Gothic" w:eastAsia="Yu Gothic"/>
          <w:b w:val="0"/>
          <w:color w:val="222222"/>
          <w:sz w:val="21"/>
        </w:rPr>
        <w:t>Python、PyTorch、timm（ViT・DeiT・ResNet の利用）、CNN／Transformer の実装と学習。</w:t>
      </w:r>
    </w:p>
    <w:p>
      <w:pPr>
        <w:pStyle w:val="ListBullet"/>
        <w:spacing w:after="40"/>
      </w:pPr>
      <w:r>
        <w:rPr>
          <w:rFonts w:ascii="Yu Gothic" w:hAnsi="Yu Gothic" w:eastAsia="Yu Gothic"/>
          <w:b/>
          <w:color w:val="222222"/>
          <w:sz w:val="21"/>
        </w:rPr>
        <w:t>医療画像処理：</w:t>
      </w:r>
      <w:r>
        <w:rPr>
          <w:rFonts w:ascii="Yu Gothic" w:hAnsi="Yu Gothic" w:eastAsia="Yu Gothic"/>
          <w:b w:val="0"/>
          <w:color w:val="222222"/>
          <w:sz w:val="21"/>
        </w:rPr>
        <w:t>MRI 画像（FLAIR / T1 / T2）の前処理、リサイズ・正規化、データセット構築。</w:t>
      </w:r>
    </w:p>
    <w:p>
      <w:pPr>
        <w:pStyle w:val="ListBullet"/>
        <w:spacing w:after="40"/>
      </w:pPr>
      <w:r>
        <w:rPr>
          <w:rFonts w:ascii="Yu Gothic" w:hAnsi="Yu Gothic" w:eastAsia="Yu Gothic"/>
          <w:b/>
          <w:color w:val="222222"/>
          <w:sz w:val="21"/>
        </w:rPr>
        <w:t>実験設計・評価：</w:t>
      </w:r>
      <w:r>
        <w:rPr>
          <w:rFonts w:ascii="Yu Gothic" w:hAnsi="Yu Gothic" w:eastAsia="Yu Gothic"/>
          <w:b w:val="0"/>
          <w:color w:val="222222"/>
          <w:sz w:val="21"/>
        </w:rPr>
        <w:t>患者単位分割による厳密な評価、accuracy / macro-F1 / ROC-AUC / 混同行列、クラス不均衡対策、再現性を意識した YAML 設定管理。</w:t>
      </w:r>
    </w:p>
    <w:p>
      <w:pPr>
        <w:pStyle w:val="ListBullet"/>
        <w:spacing w:after="40"/>
      </w:pPr>
      <w:r>
        <w:rPr>
          <w:rFonts w:ascii="Yu Gothic" w:hAnsi="Yu Gothic" w:eastAsia="Yu Gothic"/>
          <w:b/>
          <w:color w:val="222222"/>
          <w:sz w:val="21"/>
        </w:rPr>
        <w:t>データ分析・可視化：</w:t>
      </w:r>
      <w:r>
        <w:rPr>
          <w:rFonts w:ascii="Yu Gothic" w:hAnsi="Yu Gothic" w:eastAsia="Yu Gothic"/>
          <w:b w:val="0"/>
          <w:color w:val="222222"/>
          <w:sz w:val="21"/>
        </w:rPr>
        <w:t>共起ネットワーク図による健診データとの関連分析、結果の可視化。</w:t>
      </w:r>
    </w:p>
    <w:p>
      <w:pPr>
        <w:pStyle w:val="ListBullet"/>
        <w:spacing w:after="40"/>
      </w:pPr>
      <w:r>
        <w:rPr>
          <w:rFonts w:ascii="Yu Gothic" w:hAnsi="Yu Gothic" w:eastAsia="Yu Gothic"/>
          <w:b/>
          <w:color w:val="222222"/>
          <w:sz w:val="21"/>
        </w:rPr>
        <w:t>開発運用：</w:t>
      </w:r>
      <w:r>
        <w:rPr>
          <w:rFonts w:ascii="Yu Gothic" w:hAnsi="Yu Gothic" w:eastAsia="Yu Gothic"/>
          <w:b w:val="0"/>
          <w:color w:val="222222"/>
          <w:sz w:val="21"/>
        </w:rPr>
        <w:t>Git / GitHub によるバージョン管理、実験ログとスナップショットによる結果管理。</w:t>
      </w:r>
    </w:p>
    <w:p>
      <w:pPr>
        <w:pStyle w:val="Heading1"/>
      </w:pPr>
      <w:r>
        <w:rPr>
          <w:rFonts w:ascii="Yu Gothic" w:hAnsi="Yu Gothic" w:eastAsia="Yu Gothic"/>
          <w:b/>
          <w:color w:val="1F3B63"/>
          <w:sz w:val="29"/>
        </w:rPr>
        <w:t>7. 面接想定問答</w:t>
      </w:r>
    </w:p>
    <w:p>
      <w:pPr>
        <w:spacing w:after="20"/>
      </w:pPr>
      <w:r>
        <w:rPr>
          <w:rFonts w:ascii="Yu Gothic" w:hAnsi="Yu Gothic" w:eastAsia="Yu Gothic"/>
          <w:b/>
          <w:color w:val="2E74B5"/>
          <w:sz w:val="21"/>
        </w:rPr>
        <w:t>Q. なぜ CNN から ViT へ発展させたのですか？</w:t>
      </w:r>
    </w:p>
    <w:p>
      <w:pPr>
        <w:spacing w:after="160"/>
        <w:ind w:left="240"/>
      </w:pPr>
      <w:r>
        <w:rPr>
          <w:rFonts w:ascii="Yu Gothic" w:hAnsi="Yu Gothic" w:eastAsia="Yu Gothic"/>
          <w:color w:val="222222"/>
          <w:sz w:val="21"/>
        </w:rPr>
        <w:t>A. CNN は局所特徴の抽出に優れる一方、大脳白質病変は脳室周囲の広がりなど大域的な文脈が重要です。自己注意機構により画像全体の関係を捉えられる ViT が、病変分布の把握に適する可能性があると考えたためです。</w:t>
      </w:r>
    </w:p>
    <w:p>
      <w:pPr>
        <w:spacing w:after="20"/>
      </w:pPr>
      <w:r>
        <w:rPr>
          <w:rFonts w:ascii="Yu Gothic" w:hAnsi="Yu Gothic" w:eastAsia="Yu Gothic"/>
          <w:b/>
          <w:color w:val="2E74B5"/>
          <w:sz w:val="21"/>
        </w:rPr>
        <w:t>Q. 患者単位分割にしたら精度が大きく下がりましたが、これは後退ではないですか？</w:t>
      </w:r>
    </w:p>
    <w:p>
      <w:pPr>
        <w:spacing w:after="160"/>
        <w:ind w:left="240"/>
      </w:pPr>
      <w:r>
        <w:rPr>
          <w:rFonts w:ascii="Yu Gothic" w:hAnsi="Yu Gothic" w:eastAsia="Yu Gothic"/>
          <w:color w:val="222222"/>
          <w:sz w:val="21"/>
        </w:rPr>
        <w:t>A. いいえ。従来の高精度は患者リーケージによる過大評価で、臨床で必要な「未知の患者への汎化性能」を測れていませんでした。正しい評価基準を確立したこと自体が本研究の重要な成果だと考えています。</w:t>
      </w:r>
    </w:p>
    <w:p>
      <w:pPr>
        <w:spacing w:after="20"/>
      </w:pPr>
      <w:r>
        <w:rPr>
          <w:rFonts w:ascii="Yu Gothic" w:hAnsi="Yu Gothic" w:eastAsia="Yu Gothic"/>
          <w:b/>
          <w:color w:val="2E74B5"/>
          <w:sz w:val="21"/>
        </w:rPr>
        <w:t>Q. クラス不均衡にはどう対処しましたか？</w:t>
      </w:r>
    </w:p>
    <w:p>
      <w:pPr>
        <w:spacing w:after="160"/>
        <w:ind w:left="240"/>
      </w:pPr>
      <w:r>
        <w:rPr>
          <w:rFonts w:ascii="Yu Gothic" w:hAnsi="Yu Gothic" w:eastAsia="Yu Gothic"/>
          <w:color w:val="222222"/>
          <w:sz w:val="21"/>
        </w:rPr>
        <w:t>A. まず 3 クラス統合で不均衡を緩和し、macro-F1 をほぼ倍増させました。class-balanced loss も検証しましたが、3 クラス化後は不要でした。手法を重ねがけすると少数クラスを過剰予測して崩壊するため、段階的な検証を重視しています。</w:t>
      </w:r>
    </w:p>
    <w:p>
      <w:pPr>
        <w:spacing w:after="20"/>
      </w:pPr>
      <w:r>
        <w:rPr>
          <w:rFonts w:ascii="Yu Gothic" w:hAnsi="Yu Gothic" w:eastAsia="Yu Gothic"/>
          <w:b/>
          <w:color w:val="2E74B5"/>
          <w:sz w:val="21"/>
        </w:rPr>
        <w:t>Q. 現状 ViT が CNN に及んでいないのに、ViT を使う意義は？</w:t>
      </w:r>
    </w:p>
    <w:p>
      <w:pPr>
        <w:spacing w:after="160"/>
        <w:ind w:left="240"/>
      </w:pPr>
      <w:r>
        <w:rPr>
          <w:rFonts w:ascii="Yu Gothic" w:hAnsi="Yu Gothic" w:eastAsia="Yu Gothic"/>
          <w:color w:val="222222"/>
          <w:sz w:val="21"/>
        </w:rPr>
        <w:t>A. 現行の再現条件が ViT に構造的に不利（低解像度・少データ・大型モデル）だからです。224px 入力・AdamW・data augmentation・軽量バックボーン等、ViT に適した設定での公平な比較を進めており、その条件下での有効性の検証が今後の中心テーマです。</w:t>
      </w:r>
    </w:p>
    <w:p>
      <w:pPr>
        <w:spacing w:after="20"/>
      </w:pPr>
      <w:r>
        <w:rPr>
          <w:rFonts w:ascii="Yu Gothic" w:hAnsi="Yu Gothic" w:eastAsia="Yu Gothic"/>
          <w:b/>
          <w:color w:val="2E74B5"/>
          <w:sz w:val="21"/>
        </w:rPr>
        <w:t>Q. この研究の臨床的・社会的な意義は何ですか？</w:t>
      </w:r>
    </w:p>
    <w:p>
      <w:pPr>
        <w:spacing w:after="160"/>
        <w:ind w:left="240"/>
      </w:pPr>
      <w:r>
        <w:rPr>
          <w:rFonts w:ascii="Yu Gothic" w:hAnsi="Yu Gothic" w:eastAsia="Yu Gothic"/>
          <w:color w:val="222222"/>
          <w:sz w:val="21"/>
        </w:rPr>
        <w:t>A. 大脳白質病変は高血圧や脳卒中と関連し、早期の進行度把握は予防に直結します。MRI からの自動グレード判別は、読影負担の軽減と診断支援に貢献でき、健診データとの統合でリスク評価の高度化も期待できます。</w:t>
      </w:r>
    </w:p>
    <w:p>
      <w:pPr>
        <w:spacing w:after="160"/>
      </w:pPr>
    </w:p>
    <w:p>
      <w:pPr>
        <w:jc w:val="center"/>
      </w:pPr>
      <w:r>
        <w:rPr>
          <w:rFonts w:ascii="Yu Gothic" w:hAnsi="Yu Gothic" w:eastAsia="Yu Gothic"/>
          <w:color w:val="2E74B5"/>
          <w:sz w:val="21"/>
        </w:rPr>
        <w:t>― 以上 ―</w:t>
      </w:r>
    </w:p>
    <w:sectPr w:rsidR="00FC693F" w:rsidRPr="0006063C" w:rsidSect="00034616">
      <w:pgSz w:w="12240" w:h="15840"/>
      <w:pgMar w:top="960" w:right="1120" w:bottom="96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rPr>
  </w:style>
  <w:style w:type="paragraph" w:styleId="ListBullet2">
    <w:name w:val="List Bullet 2"/>
    <w:basedOn w:val="Normal"/>
    <w:uiPriority w:val="99"/>
    <w:unhideWhenUsed/>
    <w:rsid w:val="00326F90"/>
    <w:pPr>
      <w:numPr>
        <w:numId w:val="2"/>
      </w:numPr>
      <w:contextualSpacing/>
    </w:pPr>
    <w:rPr>
      <w:rFonts w:ascii="Yu Gothic" w:hAnsi="Yu Gothic" w:eastAsia="Yu Gothic"/>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Yu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Yu Gothic" w:hAnsi="Yu Gothic" w:eastAsia="Yu Gothi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