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1F3654"/>
          <w:sz w:val="48"/>
          <w:szCs w:val="48"/>
        </w:rPr>
        <w:t xml:space="preserve">BOM IT Solutions</w:t>
      </w:r>
    </w:p>
    <w:p>
      <w:pPr>
        <w:spacing w:after="60"/>
      </w:pPr>
      <w:r>
        <w:rPr>
          <w:color w:val="1F3654"/>
          <w:sz w:val="30"/>
          <w:szCs w:val="30"/>
        </w:rPr>
        <w:t xml:space="preserve">What happened to your Google visibility during the website rebuild</w:t>
      </w:r>
    </w:p>
    <w:p>
      <w:pPr>
        <w:pBdr>
          <w:bottom w:val="single" w:color="1F3654" w:sz="8"/>
        </w:pBdr>
        <w:spacing w:after="400"/>
      </w:pPr>
      <w:r>
        <w:rPr>
          <w:color w:val="595959"/>
          <w:sz w:val="20"/>
          <w:szCs w:val="20"/>
        </w:rPr>
        <w:t xml:space="preserve">Prepared by TenTerms  ·  7 August 2026</w:t>
      </w:r>
    </w:p>
    <w:p>
      <w:pPr>
        <w:pStyle w:val="Heading1"/>
        <w:spacing w:after="160" w:before="360"/>
      </w:pPr>
      <w:r>
        <w:rPr>
          <w:color w:val="1F3654"/>
        </w:rPr>
        <w:t xml:space="preserve">The short version</w:t>
      </w:r>
    </w:p>
    <w:p>
      <w:pPr>
        <w:spacing w:after="160" w:line="300"/>
      </w:pPr>
      <w:r>
        <w:rPr>
          <w:sz w:val="22"/>
          <w:szCs w:val="22"/>
        </w:rPr>
        <w:t xml:space="preserve">Your new website looks good and works well for anyone who visits it. The problem is with how the move from the old site was handled. When the new site went live, most of the old page addresses were left pointing nowhere, so Google gradually lost track of the site. Your visits from Google search fell from around 130 a month in March to essentially zero now.</w:t>
      </w:r>
    </w:p>
    <w:p>
      <w:pPr>
        <w:spacing w:after="160" w:line="300"/>
      </w:pPr>
      <w:r>
        <w:rPr>
          <w:sz w:val="22"/>
          <w:szCs w:val="22"/>
        </w:rPr>
        <w:t xml:space="preserve">This is worth stating clearly at the top: this is not a Google penalty, and it is not a problem with the design or content of the new site. It is a set of technical loose ends from the migration, all of them fixable. Sites in this position recover once the fixes are in place, though it takes weeks rather than days.</w:t>
      </w:r>
    </w:p>
    <w:p>
      <w:pPr>
        <w:pStyle w:val="Heading1"/>
        <w:spacing w:after="160" w:before="360"/>
      </w:pPr>
      <w:r>
        <w:rPr>
          <w:color w:val="1F3654"/>
        </w:rPr>
        <w:t xml:space="preserve">A little background first</w:t>
      </w:r>
    </w:p>
    <w:p>
      <w:pPr>
        <w:spacing w:after="160" w:line="300"/>
      </w:pPr>
      <w:r>
        <w:rPr>
          <w:sz w:val="22"/>
          <w:szCs w:val="22"/>
        </w:rPr>
        <w:t xml:space="preserve">Every page on a website has an address (a URL). Google keeps a map of those addresses, and your rankings are attached to them. When a page moves to a new address, the standard practice is to set up a forward, called a 301 redirect, from the old address to the new one. It works like mail forwarding when you move house: anyone using the old address still arrives at the right place, and Google transfers the page's reputation and rankings across to the new address.</w:t>
      </w:r>
    </w:p>
    <w:p>
      <w:pPr>
        <w:spacing w:after="160" w:line="300"/>
      </w:pPr>
      <w:r>
        <w:rPr>
          <w:sz w:val="22"/>
          <w:szCs w:val="22"/>
        </w:rPr>
        <w:t xml:space="preserve">If the forward is missing, the old address just returns an error saying "page not found" (a 404). Google treats that as the page being gone, removes it from search results, and the rankings it had built up are lost. That, in essence, is what has happened here.</w:t>
      </w:r>
    </w:p>
    <w:p>
      <w:pPr>
        <w:pStyle w:val="Heading1"/>
        <w:spacing w:after="160" w:before="360"/>
      </w:pPr>
      <w:r>
        <w:rPr>
          <w:color w:val="1F3654"/>
        </w:rPr>
        <w:t xml:space="preserve">What the numbers show</w:t>
      </w:r>
    </w:p>
    <w:p>
      <w:pPr>
        <w:spacing w:after="160" w:line="300"/>
      </w:pPr>
      <w:r>
        <w:rPr>
          <w:sz w:val="22"/>
          <w:szCs w:val="22"/>
        </w:rPr>
        <w:t xml:space="preserve">We track search visibility using Ahrefs, an industry-standard tool. The pattern is stark: steady, modest traffic for years, then a cliff starting in April 2026.</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tblGrid>
      <w:tr>
        <w:tc>
          <w:tcPr>
            <w:tcW w:type="dxa" w:w="2800"/>
            <w:shd w:fill="1F3654" w:val="clear"/>
            <w:tcMar>
              <w:top w:type="dxa" w:w="80"/>
              <w:left w:type="dxa" w:w="120"/>
              <w:bottom w:type="dxa" w:w="80"/>
              <w:right w:type="dxa" w:w="120"/>
            </w:tcMar>
          </w:tcPr>
          <w:p>
            <w:r>
              <w:rPr>
                <w:b/>
                <w:bCs/>
                <w:color w:val="FFFFFF"/>
                <w:sz w:val="20"/>
                <w:szCs w:val="20"/>
              </w:rPr>
              <w:t xml:space="preserve">Month</w:t>
            </w:r>
          </w:p>
        </w:tc>
        <w:tc>
          <w:tcPr>
            <w:tcW w:type="dxa" w:w="2600"/>
            <w:shd w:fill="1F3654" w:val="clear"/>
            <w:tcMar>
              <w:top w:type="dxa" w:w="80"/>
              <w:left w:type="dxa" w:w="120"/>
              <w:bottom w:type="dxa" w:w="80"/>
              <w:right w:type="dxa" w:w="120"/>
            </w:tcMar>
          </w:tcPr>
          <w:p>
            <w:r>
              <w:rPr>
                <w:b/>
                <w:bCs/>
                <w:color w:val="FFFFFF"/>
                <w:sz w:val="20"/>
                <w:szCs w:val="20"/>
              </w:rPr>
              <w:t xml:space="preserve">Estimated visits from Google</w:t>
            </w:r>
          </w:p>
        </w:tc>
      </w:tr>
      <w:tr>
        <w:tc>
          <w:tcPr>
            <w:tcW w:type="dxa" w:w="2800"/>
            <w:tcMar>
              <w:top w:type="dxa" w:w="80"/>
              <w:left w:type="dxa" w:w="120"/>
              <w:bottom w:type="dxa" w:w="80"/>
              <w:right w:type="dxa" w:w="120"/>
            </w:tcMar>
          </w:tcPr>
          <w:p>
            <w:r>
              <w:rPr>
                <w:b w:val="false"/>
                <w:bCs w:val="false"/>
                <w:color w:val="000000"/>
                <w:sz w:val="19"/>
                <w:szCs w:val="19"/>
              </w:rPr>
              <w:t xml:space="preserve">January 2026</w:t>
            </w:r>
          </w:p>
        </w:tc>
        <w:tc>
          <w:tcPr>
            <w:tcW w:type="dxa" w:w="2600"/>
            <w:tcMar>
              <w:top w:type="dxa" w:w="80"/>
              <w:left w:type="dxa" w:w="120"/>
              <w:bottom w:type="dxa" w:w="80"/>
              <w:right w:type="dxa" w:w="120"/>
            </w:tcMar>
          </w:tcPr>
          <w:p>
            <w:r>
              <w:rPr>
                <w:b w:val="false"/>
                <w:bCs w:val="false"/>
                <w:color w:val="000000"/>
                <w:sz w:val="19"/>
                <w:szCs w:val="19"/>
              </w:rPr>
              <w:t xml:space="preserve">141</w:t>
            </w:r>
          </w:p>
        </w:tc>
      </w:tr>
      <w:tr>
        <w:tc>
          <w:tcPr>
            <w:tcW w:type="dxa" w:w="2800"/>
            <w:tcMar>
              <w:top w:type="dxa" w:w="80"/>
              <w:left w:type="dxa" w:w="120"/>
              <w:bottom w:type="dxa" w:w="80"/>
              <w:right w:type="dxa" w:w="120"/>
            </w:tcMar>
          </w:tcPr>
          <w:p>
            <w:r>
              <w:rPr>
                <w:b w:val="false"/>
                <w:bCs w:val="false"/>
                <w:color w:val="000000"/>
                <w:sz w:val="19"/>
                <w:szCs w:val="19"/>
              </w:rPr>
              <w:t xml:space="preserve">February 2026</w:t>
            </w:r>
          </w:p>
        </w:tc>
        <w:tc>
          <w:tcPr>
            <w:tcW w:type="dxa" w:w="2600"/>
            <w:tcMar>
              <w:top w:type="dxa" w:w="80"/>
              <w:left w:type="dxa" w:w="120"/>
              <w:bottom w:type="dxa" w:w="80"/>
              <w:right w:type="dxa" w:w="120"/>
            </w:tcMar>
          </w:tcPr>
          <w:p>
            <w:r>
              <w:rPr>
                <w:b w:val="false"/>
                <w:bCs w:val="false"/>
                <w:color w:val="000000"/>
                <w:sz w:val="19"/>
                <w:szCs w:val="19"/>
              </w:rPr>
              <w:t xml:space="preserve">136</w:t>
            </w:r>
          </w:p>
        </w:tc>
      </w:tr>
      <w:tr>
        <w:tc>
          <w:tcPr>
            <w:tcW w:type="dxa" w:w="2800"/>
            <w:tcMar>
              <w:top w:type="dxa" w:w="80"/>
              <w:left w:type="dxa" w:w="120"/>
              <w:bottom w:type="dxa" w:w="80"/>
              <w:right w:type="dxa" w:w="120"/>
            </w:tcMar>
          </w:tcPr>
          <w:p>
            <w:r>
              <w:rPr>
                <w:b w:val="false"/>
                <w:bCs w:val="false"/>
                <w:color w:val="000000"/>
                <w:sz w:val="19"/>
                <w:szCs w:val="19"/>
              </w:rPr>
              <w:t xml:space="preserve">March 2026</w:t>
            </w:r>
          </w:p>
        </w:tc>
        <w:tc>
          <w:tcPr>
            <w:tcW w:type="dxa" w:w="2600"/>
            <w:tcMar>
              <w:top w:type="dxa" w:w="80"/>
              <w:left w:type="dxa" w:w="120"/>
              <w:bottom w:type="dxa" w:w="80"/>
              <w:right w:type="dxa" w:w="120"/>
            </w:tcMar>
          </w:tcPr>
          <w:p>
            <w:r>
              <w:rPr>
                <w:b w:val="false"/>
                <w:bCs w:val="false"/>
                <w:color w:val="000000"/>
                <w:sz w:val="19"/>
                <w:szCs w:val="19"/>
              </w:rPr>
              <w:t xml:space="preserve">132</w:t>
            </w:r>
          </w:p>
        </w:tc>
      </w:tr>
      <w:tr>
        <w:tc>
          <w:tcPr>
            <w:tcW w:type="dxa" w:w="2800"/>
            <w:tcMar>
              <w:top w:type="dxa" w:w="80"/>
              <w:left w:type="dxa" w:w="120"/>
              <w:bottom w:type="dxa" w:w="80"/>
              <w:right w:type="dxa" w:w="120"/>
            </w:tcMar>
          </w:tcPr>
          <w:p>
            <w:r>
              <w:rPr>
                <w:b w:val="false"/>
                <w:bCs w:val="false"/>
                <w:color w:val="000000"/>
                <w:sz w:val="19"/>
                <w:szCs w:val="19"/>
              </w:rPr>
              <w:t xml:space="preserve">April 2026</w:t>
            </w:r>
          </w:p>
        </w:tc>
        <w:tc>
          <w:tcPr>
            <w:tcW w:type="dxa" w:w="2600"/>
            <w:tcMar>
              <w:top w:type="dxa" w:w="80"/>
              <w:left w:type="dxa" w:w="120"/>
              <w:bottom w:type="dxa" w:w="80"/>
              <w:right w:type="dxa" w:w="120"/>
            </w:tcMar>
          </w:tcPr>
          <w:p>
            <w:r>
              <w:rPr>
                <w:b w:val="false"/>
                <w:bCs w:val="false"/>
                <w:color w:val="000000"/>
                <w:sz w:val="19"/>
                <w:szCs w:val="19"/>
              </w:rPr>
              <w:t xml:space="preserve">60</w:t>
            </w:r>
          </w:p>
        </w:tc>
      </w:tr>
      <w:tr>
        <w:tc>
          <w:tcPr>
            <w:tcW w:type="dxa" w:w="2800"/>
            <w:tcMar>
              <w:top w:type="dxa" w:w="80"/>
              <w:left w:type="dxa" w:w="120"/>
              <w:bottom w:type="dxa" w:w="80"/>
              <w:right w:type="dxa" w:w="120"/>
            </w:tcMar>
          </w:tcPr>
          <w:p>
            <w:r>
              <w:rPr>
                <w:b w:val="false"/>
                <w:bCs w:val="false"/>
                <w:color w:val="000000"/>
                <w:sz w:val="19"/>
                <w:szCs w:val="19"/>
              </w:rPr>
              <w:t xml:space="preserve">May 2026</w:t>
            </w:r>
          </w:p>
        </w:tc>
        <w:tc>
          <w:tcPr>
            <w:tcW w:type="dxa" w:w="2600"/>
            <w:tcMar>
              <w:top w:type="dxa" w:w="80"/>
              <w:left w:type="dxa" w:w="120"/>
              <w:bottom w:type="dxa" w:w="80"/>
              <w:right w:type="dxa" w:w="120"/>
            </w:tcMar>
          </w:tcPr>
          <w:p>
            <w:r>
              <w:rPr>
                <w:b w:val="false"/>
                <w:bCs w:val="false"/>
                <w:color w:val="000000"/>
                <w:sz w:val="19"/>
                <w:szCs w:val="19"/>
              </w:rPr>
              <w:t xml:space="preserve">15</w:t>
            </w:r>
          </w:p>
        </w:tc>
      </w:tr>
      <w:tr>
        <w:tc>
          <w:tcPr>
            <w:tcW w:type="dxa" w:w="2800"/>
            <w:tcMar>
              <w:top w:type="dxa" w:w="80"/>
              <w:left w:type="dxa" w:w="120"/>
              <w:bottom w:type="dxa" w:w="80"/>
              <w:right w:type="dxa" w:w="120"/>
            </w:tcMar>
          </w:tcPr>
          <w:p>
            <w:r>
              <w:rPr>
                <w:b w:val="false"/>
                <w:bCs w:val="false"/>
                <w:color w:val="000000"/>
                <w:sz w:val="19"/>
                <w:szCs w:val="19"/>
              </w:rPr>
              <w:t xml:space="preserve">June 2026</w:t>
            </w:r>
          </w:p>
        </w:tc>
        <w:tc>
          <w:tcPr>
            <w:tcW w:type="dxa" w:w="2600"/>
            <w:tcMar>
              <w:top w:type="dxa" w:w="80"/>
              <w:left w:type="dxa" w:w="120"/>
              <w:bottom w:type="dxa" w:w="80"/>
              <w:right w:type="dxa" w:w="120"/>
            </w:tcMar>
          </w:tcPr>
          <w:p>
            <w:r>
              <w:rPr>
                <w:b w:val="false"/>
                <w:bCs w:val="false"/>
                <w:color w:val="000000"/>
                <w:sz w:val="19"/>
                <w:szCs w:val="19"/>
              </w:rPr>
              <w:t xml:space="preserve">4</w:t>
            </w:r>
          </w:p>
        </w:tc>
      </w:tr>
      <w:tr>
        <w:tc>
          <w:tcPr>
            <w:tcW w:type="dxa" w:w="2800"/>
            <w:tcMar>
              <w:top w:type="dxa" w:w="80"/>
              <w:left w:type="dxa" w:w="120"/>
              <w:bottom w:type="dxa" w:w="80"/>
              <w:right w:type="dxa" w:w="120"/>
            </w:tcMar>
          </w:tcPr>
          <w:p>
            <w:r>
              <w:rPr>
                <w:b w:val="false"/>
                <w:bCs w:val="false"/>
                <w:color w:val="000000"/>
                <w:sz w:val="19"/>
                <w:szCs w:val="19"/>
              </w:rPr>
              <w:t xml:space="preserve">July 2026</w:t>
            </w:r>
          </w:p>
        </w:tc>
        <w:tc>
          <w:tcPr>
            <w:tcW w:type="dxa" w:w="2600"/>
            <w:tcMar>
              <w:top w:type="dxa" w:w="80"/>
              <w:left w:type="dxa" w:w="120"/>
              <w:bottom w:type="dxa" w:w="80"/>
              <w:right w:type="dxa" w:w="120"/>
            </w:tcMar>
          </w:tcPr>
          <w:p>
            <w:r>
              <w:rPr>
                <w:b w:val="false"/>
                <w:bCs w:val="false"/>
                <w:color w:val="000000"/>
                <w:sz w:val="19"/>
                <w:szCs w:val="19"/>
              </w:rPr>
              <w:t xml:space="preserve">2</w:t>
            </w:r>
          </w:p>
        </w:tc>
      </w:tr>
      <w:tr>
        <w:tc>
          <w:tcPr>
            <w:tcW w:type="dxa" w:w="2800"/>
            <w:tcMar>
              <w:top w:type="dxa" w:w="80"/>
              <w:left w:type="dxa" w:w="120"/>
              <w:bottom w:type="dxa" w:w="80"/>
              <w:right w:type="dxa" w:w="120"/>
            </w:tcMar>
          </w:tcPr>
          <w:p>
            <w:r>
              <w:rPr>
                <w:b w:val="false"/>
                <w:bCs w:val="false"/>
                <w:color w:val="000000"/>
                <w:sz w:val="19"/>
                <w:szCs w:val="19"/>
              </w:rPr>
              <w:t xml:space="preserve">August 2026</w:t>
            </w:r>
          </w:p>
        </w:tc>
        <w:tc>
          <w:tcPr>
            <w:tcW w:type="dxa" w:w="2600"/>
            <w:shd w:fill="EEF1F5" w:val="clear"/>
            <w:tcMar>
              <w:top w:type="dxa" w:w="80"/>
              <w:left w:type="dxa" w:w="120"/>
              <w:bottom w:type="dxa" w:w="80"/>
              <w:right w:type="dxa" w:w="120"/>
            </w:tcMar>
          </w:tcPr>
          <w:p>
            <w:r>
              <w:rPr>
                <w:b w:val="false"/>
                <w:bCs w:val="false"/>
                <w:color w:val="000000"/>
                <w:sz w:val="19"/>
                <w:szCs w:val="19"/>
              </w:rPr>
              <w:t xml:space="preserve">1</w:t>
            </w:r>
          </w:p>
        </w:tc>
      </w:tr>
    </w:tbl>
    <w:p>
      <w:pPr>
        <w:spacing w:after="160" w:before="160"/>
      </w:pPr>
      <w:r>
        <w:rPr>
          <w:sz w:val="22"/>
          <w:szCs w:val="22"/>
        </w:rPr>
        <w:t xml:space="preserve"/>
      </w:r>
    </w:p>
    <w:p>
      <w:pPr>
        <w:spacing w:after="160" w:line="300"/>
      </w:pPr>
      <w:r>
        <w:rPr>
          <w:sz w:val="22"/>
          <w:szCs w:val="22"/>
        </w:rPr>
        <w:t xml:space="preserve">In March you held some genuinely useful positions. By this month, the site ranks for exactly one search term: your own company name.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600"/>
        <w:gridCol w:w="1700"/>
        <w:gridCol w:w="1700"/>
      </w:tblGrid>
      <w:tr>
        <w:tc>
          <w:tcPr>
            <w:tcW w:type="dxa" w:w="4600"/>
            <w:shd w:fill="1F3654" w:val="clear"/>
            <w:tcMar>
              <w:top w:type="dxa" w:w="80"/>
              <w:left w:type="dxa" w:w="120"/>
              <w:bottom w:type="dxa" w:w="80"/>
              <w:right w:type="dxa" w:w="120"/>
            </w:tcMar>
          </w:tcPr>
          <w:p>
            <w:r>
              <w:rPr>
                <w:b/>
                <w:bCs/>
                <w:color w:val="FFFFFF"/>
                <w:sz w:val="20"/>
                <w:szCs w:val="20"/>
              </w:rPr>
              <w:t xml:space="preserve">Search term</w:t>
            </w:r>
          </w:p>
        </w:tc>
        <w:tc>
          <w:tcPr>
            <w:tcW w:type="dxa" w:w="1700"/>
            <w:shd w:fill="1F3654" w:val="clear"/>
            <w:tcMar>
              <w:top w:type="dxa" w:w="80"/>
              <w:left w:type="dxa" w:w="120"/>
              <w:bottom w:type="dxa" w:w="80"/>
              <w:right w:type="dxa" w:w="120"/>
            </w:tcMar>
          </w:tcPr>
          <w:p>
            <w:r>
              <w:rPr>
                <w:b/>
                <w:bCs/>
                <w:color w:val="FFFFFF"/>
                <w:sz w:val="20"/>
                <w:szCs w:val="20"/>
              </w:rPr>
              <w:t xml:space="preserve">March 2026</w:t>
            </w:r>
          </w:p>
        </w:tc>
        <w:tc>
          <w:tcPr>
            <w:tcW w:type="dxa" w:w="1700"/>
            <w:shd w:fill="1F3654" w:val="clear"/>
            <w:tcMar>
              <w:top w:type="dxa" w:w="80"/>
              <w:left w:type="dxa" w:w="120"/>
              <w:bottom w:type="dxa" w:w="80"/>
              <w:right w:type="dxa" w:w="120"/>
            </w:tcMar>
          </w:tcPr>
          <w:p>
            <w:r>
              <w:rPr>
                <w:b/>
                <w:bCs/>
                <w:color w:val="FFFFFF"/>
                <w:sz w:val="20"/>
                <w:szCs w:val="20"/>
              </w:rPr>
              <w:t xml:space="preserve">Now</w:t>
            </w:r>
          </w:p>
        </w:tc>
      </w:tr>
      <w:tr>
        <w:tc>
          <w:tcPr>
            <w:tcW w:type="dxa" w:w="4600"/>
            <w:tcMar>
              <w:top w:type="dxa" w:w="80"/>
              <w:left w:type="dxa" w:w="120"/>
              <w:bottom w:type="dxa" w:w="80"/>
              <w:right w:type="dxa" w:w="120"/>
            </w:tcMar>
          </w:tcPr>
          <w:p>
            <w:r>
              <w:rPr>
                <w:b w:val="false"/>
                <w:bCs w:val="false"/>
                <w:color w:val="000000"/>
                <w:sz w:val="19"/>
                <w:szCs w:val="19"/>
              </w:rPr>
              <w:t xml:space="preserve">it company bristol</w:t>
            </w:r>
          </w:p>
        </w:tc>
        <w:tc>
          <w:tcPr>
            <w:tcW w:type="dxa" w:w="1700"/>
            <w:tcMar>
              <w:top w:type="dxa" w:w="80"/>
              <w:left w:type="dxa" w:w="120"/>
              <w:bottom w:type="dxa" w:w="80"/>
              <w:right w:type="dxa" w:w="120"/>
            </w:tcMar>
          </w:tcPr>
          <w:p>
            <w:r>
              <w:rPr>
                <w:b w:val="false"/>
                <w:bCs w:val="false"/>
                <w:color w:val="000000"/>
                <w:sz w:val="19"/>
                <w:szCs w:val="19"/>
              </w:rPr>
              <w:t xml:space="preserve">Position 4</w:t>
            </w:r>
          </w:p>
        </w:tc>
        <w:tc>
          <w:tcPr>
            <w:tcW w:type="dxa" w:w="1700"/>
            <w:tcMar>
              <w:top w:type="dxa" w:w="80"/>
              <w:left w:type="dxa" w:w="120"/>
              <w:bottom w:type="dxa" w:w="80"/>
              <w:right w:type="dxa" w:w="120"/>
            </w:tcMar>
          </w:tcPr>
          <w:p>
            <w:r>
              <w:rPr>
                <w:b w:val="false"/>
                <w:bCs w:val="false"/>
                <w:color w:val="000000"/>
                <w:sz w:val="19"/>
                <w:szCs w:val="19"/>
              </w:rPr>
              <w:t xml:space="preserve">Gone</w:t>
            </w:r>
          </w:p>
        </w:tc>
      </w:tr>
      <w:tr>
        <w:tc>
          <w:tcPr>
            <w:tcW w:type="dxa" w:w="4600"/>
            <w:tcMar>
              <w:top w:type="dxa" w:w="80"/>
              <w:left w:type="dxa" w:w="120"/>
              <w:bottom w:type="dxa" w:w="80"/>
              <w:right w:type="dxa" w:w="120"/>
            </w:tcMar>
          </w:tcPr>
          <w:p>
            <w:r>
              <w:rPr>
                <w:b w:val="false"/>
                <w:bCs w:val="false"/>
                <w:color w:val="000000"/>
                <w:sz w:val="19"/>
                <w:szCs w:val="19"/>
              </w:rPr>
              <w:t xml:space="preserve">bristol it company</w:t>
            </w:r>
          </w:p>
        </w:tc>
        <w:tc>
          <w:tcPr>
            <w:tcW w:type="dxa" w:w="1700"/>
            <w:tcMar>
              <w:top w:type="dxa" w:w="80"/>
              <w:left w:type="dxa" w:w="120"/>
              <w:bottom w:type="dxa" w:w="80"/>
              <w:right w:type="dxa" w:w="120"/>
            </w:tcMar>
          </w:tcPr>
          <w:p>
            <w:r>
              <w:rPr>
                <w:b w:val="false"/>
                <w:bCs w:val="false"/>
                <w:color w:val="000000"/>
                <w:sz w:val="19"/>
                <w:szCs w:val="19"/>
              </w:rPr>
              <w:t xml:space="preserve">Position 2</w:t>
            </w:r>
          </w:p>
        </w:tc>
        <w:tc>
          <w:tcPr>
            <w:tcW w:type="dxa" w:w="1700"/>
            <w:tcMar>
              <w:top w:type="dxa" w:w="80"/>
              <w:left w:type="dxa" w:w="120"/>
              <w:bottom w:type="dxa" w:w="80"/>
              <w:right w:type="dxa" w:w="120"/>
            </w:tcMar>
          </w:tcPr>
          <w:p>
            <w:r>
              <w:rPr>
                <w:b w:val="false"/>
                <w:bCs w:val="false"/>
                <w:color w:val="000000"/>
                <w:sz w:val="19"/>
                <w:szCs w:val="19"/>
              </w:rPr>
              <w:t xml:space="preserve">Gone</w:t>
            </w:r>
          </w:p>
        </w:tc>
      </w:tr>
      <w:tr>
        <w:tc>
          <w:tcPr>
            <w:tcW w:type="dxa" w:w="4600"/>
            <w:tcMar>
              <w:top w:type="dxa" w:w="80"/>
              <w:left w:type="dxa" w:w="120"/>
              <w:bottom w:type="dxa" w:w="80"/>
              <w:right w:type="dxa" w:w="120"/>
            </w:tcMar>
          </w:tcPr>
          <w:p>
            <w:r>
              <w:rPr>
                <w:b w:val="false"/>
                <w:bCs w:val="false"/>
                <w:color w:val="000000"/>
                <w:sz w:val="19"/>
                <w:szCs w:val="19"/>
              </w:rPr>
              <w:t xml:space="preserve">grc cyber security</w:t>
            </w:r>
          </w:p>
        </w:tc>
        <w:tc>
          <w:tcPr>
            <w:tcW w:type="dxa" w:w="1700"/>
            <w:tcMar>
              <w:top w:type="dxa" w:w="80"/>
              <w:left w:type="dxa" w:w="120"/>
              <w:bottom w:type="dxa" w:w="80"/>
              <w:right w:type="dxa" w:w="120"/>
            </w:tcMar>
          </w:tcPr>
          <w:p>
            <w:r>
              <w:rPr>
                <w:b w:val="false"/>
                <w:bCs w:val="false"/>
                <w:color w:val="000000"/>
                <w:sz w:val="19"/>
                <w:szCs w:val="19"/>
              </w:rPr>
              <w:t xml:space="preserve">Position 1</w:t>
            </w:r>
          </w:p>
        </w:tc>
        <w:tc>
          <w:tcPr>
            <w:tcW w:type="dxa" w:w="1700"/>
            <w:tcMar>
              <w:top w:type="dxa" w:w="80"/>
              <w:left w:type="dxa" w:w="120"/>
              <w:bottom w:type="dxa" w:w="80"/>
              <w:right w:type="dxa" w:w="120"/>
            </w:tcMar>
          </w:tcPr>
          <w:p>
            <w:r>
              <w:rPr>
                <w:b w:val="false"/>
                <w:bCs w:val="false"/>
                <w:color w:val="000000"/>
                <w:sz w:val="19"/>
                <w:szCs w:val="19"/>
              </w:rPr>
              <w:t xml:space="preserve">Gone</w:t>
            </w:r>
          </w:p>
        </w:tc>
      </w:tr>
      <w:tr>
        <w:tc>
          <w:tcPr>
            <w:tcW w:type="dxa" w:w="4600"/>
            <w:tcMar>
              <w:top w:type="dxa" w:w="80"/>
              <w:left w:type="dxa" w:w="120"/>
              <w:bottom w:type="dxa" w:w="80"/>
              <w:right w:type="dxa" w:w="120"/>
            </w:tcMar>
          </w:tcPr>
          <w:p>
            <w:r>
              <w:rPr>
                <w:b w:val="false"/>
                <w:bCs w:val="false"/>
                <w:color w:val="000000"/>
                <w:sz w:val="19"/>
                <w:szCs w:val="19"/>
              </w:rPr>
              <w:t xml:space="preserve">small business it services</w:t>
            </w:r>
          </w:p>
        </w:tc>
        <w:tc>
          <w:tcPr>
            <w:tcW w:type="dxa" w:w="1700"/>
            <w:tcMar>
              <w:top w:type="dxa" w:w="80"/>
              <w:left w:type="dxa" w:w="120"/>
              <w:bottom w:type="dxa" w:w="80"/>
              <w:right w:type="dxa" w:w="120"/>
            </w:tcMar>
          </w:tcPr>
          <w:p>
            <w:r>
              <w:rPr>
                <w:b w:val="false"/>
                <w:bCs w:val="false"/>
                <w:color w:val="000000"/>
                <w:sz w:val="19"/>
                <w:szCs w:val="19"/>
              </w:rPr>
              <w:t xml:space="preserve">Position 15</w:t>
            </w:r>
          </w:p>
        </w:tc>
        <w:tc>
          <w:tcPr>
            <w:tcW w:type="dxa" w:w="1700"/>
            <w:tcMar>
              <w:top w:type="dxa" w:w="80"/>
              <w:left w:type="dxa" w:w="120"/>
              <w:bottom w:type="dxa" w:w="80"/>
              <w:right w:type="dxa" w:w="120"/>
            </w:tcMar>
          </w:tcPr>
          <w:p>
            <w:r>
              <w:rPr>
                <w:b w:val="false"/>
                <w:bCs w:val="false"/>
                <w:color w:val="000000"/>
                <w:sz w:val="19"/>
                <w:szCs w:val="19"/>
              </w:rPr>
              <w:t xml:space="preserve">Gone</w:t>
            </w:r>
          </w:p>
        </w:tc>
      </w:tr>
      <w:tr>
        <w:tc>
          <w:tcPr>
            <w:tcW w:type="dxa" w:w="4600"/>
            <w:tcMar>
              <w:top w:type="dxa" w:w="80"/>
              <w:left w:type="dxa" w:w="120"/>
              <w:bottom w:type="dxa" w:w="80"/>
              <w:right w:type="dxa" w:w="120"/>
            </w:tcMar>
          </w:tcPr>
          <w:p>
            <w:r>
              <w:rPr>
                <w:b w:val="false"/>
                <w:bCs w:val="false"/>
                <w:color w:val="000000"/>
                <w:sz w:val="19"/>
                <w:szCs w:val="19"/>
              </w:rPr>
              <w:t xml:space="preserve">sme it support</w:t>
            </w:r>
          </w:p>
        </w:tc>
        <w:tc>
          <w:tcPr>
            <w:tcW w:type="dxa" w:w="1700"/>
            <w:tcMar>
              <w:top w:type="dxa" w:w="80"/>
              <w:left w:type="dxa" w:w="120"/>
              <w:bottom w:type="dxa" w:w="80"/>
              <w:right w:type="dxa" w:w="120"/>
            </w:tcMar>
          </w:tcPr>
          <w:p>
            <w:r>
              <w:rPr>
                <w:b w:val="false"/>
                <w:bCs w:val="false"/>
                <w:color w:val="000000"/>
                <w:sz w:val="19"/>
                <w:szCs w:val="19"/>
              </w:rPr>
              <w:t xml:space="preserve">Position 17</w:t>
            </w:r>
          </w:p>
        </w:tc>
        <w:tc>
          <w:tcPr>
            <w:tcW w:type="dxa" w:w="1700"/>
            <w:tcMar>
              <w:top w:type="dxa" w:w="80"/>
              <w:left w:type="dxa" w:w="120"/>
              <w:bottom w:type="dxa" w:w="80"/>
              <w:right w:type="dxa" w:w="120"/>
            </w:tcMar>
          </w:tcPr>
          <w:p>
            <w:r>
              <w:rPr>
                <w:b w:val="false"/>
                <w:bCs w:val="false"/>
                <w:color w:val="000000"/>
                <w:sz w:val="19"/>
                <w:szCs w:val="19"/>
              </w:rPr>
              <w:t xml:space="preserve">Gone</w:t>
            </w:r>
          </w:p>
        </w:tc>
      </w:tr>
      <w:tr>
        <w:tc>
          <w:tcPr>
            <w:tcW w:type="dxa" w:w="4600"/>
            <w:tcMar>
              <w:top w:type="dxa" w:w="80"/>
              <w:left w:type="dxa" w:w="120"/>
              <w:bottom w:type="dxa" w:w="80"/>
              <w:right w:type="dxa" w:w="120"/>
            </w:tcMar>
          </w:tcPr>
          <w:p>
            <w:r>
              <w:rPr>
                <w:b w:val="false"/>
                <w:bCs w:val="false"/>
                <w:color w:val="000000"/>
                <w:sz w:val="19"/>
                <w:szCs w:val="19"/>
              </w:rPr>
              <w:t xml:space="preserve">zero trust network access</w:t>
            </w:r>
          </w:p>
        </w:tc>
        <w:tc>
          <w:tcPr>
            <w:tcW w:type="dxa" w:w="1700"/>
            <w:tcMar>
              <w:top w:type="dxa" w:w="80"/>
              <w:left w:type="dxa" w:w="120"/>
              <w:bottom w:type="dxa" w:w="80"/>
              <w:right w:type="dxa" w:w="120"/>
            </w:tcMar>
          </w:tcPr>
          <w:p>
            <w:r>
              <w:rPr>
                <w:b w:val="false"/>
                <w:bCs w:val="false"/>
                <w:color w:val="000000"/>
                <w:sz w:val="19"/>
                <w:szCs w:val="19"/>
              </w:rPr>
              <w:t xml:space="preserve">Position 15</w:t>
            </w:r>
          </w:p>
        </w:tc>
        <w:tc>
          <w:tcPr>
            <w:tcW w:type="dxa" w:w="1700"/>
            <w:tcMar>
              <w:top w:type="dxa" w:w="80"/>
              <w:left w:type="dxa" w:w="120"/>
              <w:bottom w:type="dxa" w:w="80"/>
              <w:right w:type="dxa" w:w="120"/>
            </w:tcMar>
          </w:tcPr>
          <w:p>
            <w:r>
              <w:rPr>
                <w:b w:val="false"/>
                <w:bCs w:val="false"/>
                <w:color w:val="000000"/>
                <w:sz w:val="19"/>
                <w:szCs w:val="19"/>
              </w:rPr>
              <w:t xml:space="preserve">Gone</w:t>
            </w:r>
          </w:p>
        </w:tc>
      </w:tr>
      <w:tr>
        <w:tc>
          <w:tcPr>
            <w:tcW w:type="dxa" w:w="4600"/>
            <w:tcMar>
              <w:top w:type="dxa" w:w="80"/>
              <w:left w:type="dxa" w:w="120"/>
              <w:bottom w:type="dxa" w:w="80"/>
              <w:right w:type="dxa" w:w="120"/>
            </w:tcMar>
          </w:tcPr>
          <w:p>
            <w:r>
              <w:rPr>
                <w:b w:val="false"/>
                <w:bCs w:val="false"/>
                <w:color w:val="000000"/>
                <w:sz w:val="19"/>
                <w:szCs w:val="19"/>
              </w:rPr>
              <w:t xml:space="preserve">bom it solutions (your brand)</w:t>
            </w:r>
          </w:p>
        </w:tc>
        <w:tc>
          <w:tcPr>
            <w:tcW w:type="dxa" w:w="1700"/>
            <w:tcMar>
              <w:top w:type="dxa" w:w="80"/>
              <w:left w:type="dxa" w:w="120"/>
              <w:bottom w:type="dxa" w:w="80"/>
              <w:right w:type="dxa" w:w="120"/>
            </w:tcMar>
          </w:tcPr>
          <w:p>
            <w:r>
              <w:rPr>
                <w:b w:val="false"/>
                <w:bCs w:val="false"/>
                <w:color w:val="000000"/>
                <w:sz w:val="19"/>
                <w:szCs w:val="19"/>
              </w:rPr>
              <w:t xml:space="preserve">Position 1</w:t>
            </w:r>
          </w:p>
        </w:tc>
        <w:tc>
          <w:tcPr>
            <w:tcW w:type="dxa" w:w="1700"/>
            <w:tcMar>
              <w:top w:type="dxa" w:w="80"/>
              <w:left w:type="dxa" w:w="120"/>
              <w:bottom w:type="dxa" w:w="80"/>
              <w:right w:type="dxa" w:w="120"/>
            </w:tcMar>
          </w:tcPr>
          <w:p>
            <w:r>
              <w:rPr>
                <w:b w:val="false"/>
                <w:bCs w:val="false"/>
                <w:color w:val="000000"/>
                <w:sz w:val="19"/>
                <w:szCs w:val="19"/>
              </w:rPr>
              <w:t xml:space="preserve">Position 1</w:t>
            </w:r>
          </w:p>
        </w:tc>
      </w:tr>
    </w:tbl>
    <w:p>
      <w:pPr>
        <w:spacing w:after="0" w:before="160"/>
      </w:pPr>
      <w:r>
        <w:rPr>
          <w:sz w:val="22"/>
          <w:szCs w:val="22"/>
        </w:rPr>
        <w:t xml:space="preserve"/>
      </w:r>
    </w:p>
    <w:p>
      <w:pPr>
        <w:pStyle w:val="Heading1"/>
        <w:spacing w:after="160" w:before="360"/>
      </w:pPr>
      <w:r>
        <w:rPr>
          <w:color w:val="1F3654"/>
        </w:rPr>
        <w:t xml:space="preserve">The specific issues we found</w:t>
      </w:r>
    </w:p>
    <w:p>
      <w:pPr>
        <w:pStyle w:val="Heading2"/>
        <w:spacing w:after="120" w:before="280"/>
      </w:pPr>
      <w:r>
        <w:rPr>
          <w:color w:val="1F3654"/>
        </w:rPr>
        <w:t xml:space="preserve">1. Most old pages now return "page not found"</w:t>
      </w:r>
    </w:p>
    <w:p>
      <w:pPr>
        <w:spacing w:after="160" w:line="300"/>
      </w:pPr>
      <w:r>
        <w:rPr>
          <w:sz w:val="22"/>
          <w:szCs w:val="22"/>
        </w:rPr>
        <w:t xml:space="preserve">We checked thirteen addresses from the old site that Google knew about, including every page that was ranking in March. Eight of them now return a 404 error, with no forward in place. That includes some surprising ones: the old About Us page and the News section are simply gone, along with service pages for zero trust network access and firewalls, the SME IT support page, partner pages, and blog articles.</w:t>
      </w:r>
    </w:p>
    <w:p>
      <w:pPr>
        <w:spacing w:after="160" w:line="300"/>
      </w:pPr>
      <w:r>
        <w:rPr>
          <w:sz w:val="22"/>
          <w:szCs w:val="22"/>
        </w:rPr>
        <w:t xml:space="preserve">This is the main cause of the traffic collapse. Each of those dead addresses was carrying rankings, links from other websites, or both, and at the moment all of that is being thrown away.</w:t>
      </w:r>
    </w:p>
    <w:p>
      <w:pPr>
        <w:pStyle w:val="Heading2"/>
        <w:spacing w:after="120" w:before="280"/>
      </w:pPr>
      <w:r>
        <w:rPr>
          <w:color w:val="1F3654"/>
        </w:rPr>
        <w:t xml:space="preserve">2. One forward points at a picture file</w:t>
      </w:r>
    </w:p>
    <w:p>
      <w:pPr>
        <w:spacing w:after="160" w:line="300"/>
      </w:pPr>
      <w:r>
        <w:rPr>
          <w:sz w:val="22"/>
          <w:szCs w:val="22"/>
        </w:rPr>
        <w:t xml:space="preserve">The old managed IT services page, one of your most important commercial pages, does have a forward set up. Unfortunately it points to an image file rather than a page: a visitor or search engine following it lands on a bare icon graphic (managed-it-services.svg) instead of your managed IT services page. This looks like a simple slip when the redirect was set up, most likely a mis-click when choosing the destination, but the effect is that your flagship service page's history is being forwarded into a picture.</w:t>
      </w:r>
    </w:p>
    <w:p>
      <w:pPr>
        <w:pStyle w:val="Heading2"/>
        <w:spacing w:after="120" w:before="280"/>
      </w:pPr>
      <w:r>
        <w:rPr>
          <w:color w:val="1F3654"/>
        </w:rPr>
        <w:t xml:space="preserve">3. Some topics no longer have a page at all</w:t>
      </w:r>
    </w:p>
    <w:p>
      <w:pPr>
        <w:spacing w:after="160" w:line="300"/>
      </w:pPr>
      <w:r>
        <w:rPr>
          <w:sz w:val="22"/>
          <w:szCs w:val="22"/>
        </w:rPr>
        <w:t xml:space="preserve">Redirects can only pass rankings to a page that actually covers the same subject. The old site had dedicated pages for specific topics such as zero trust network access, next generation firewalls, and IT services for small businesses, and those pages ranked. The new site is leaner (63 pages) and several of those topics have no equivalent page any more. Even with perfect redirects, those rankings cannot come back until there is a page for them to come back to. This needs a decision, topic by topic: reinstate a page, or accept the loss deliberately.</w:t>
      </w:r>
    </w:p>
    <w:p>
      <w:pPr>
        <w:pStyle w:val="Heading2"/>
        <w:spacing w:after="120" w:before="280"/>
      </w:pPr>
      <w:r>
        <w:rPr>
          <w:color w:val="1F3654"/>
        </w:rPr>
        <w:t xml:space="preserve">4. The forwards that do exist have small faults</w:t>
      </w:r>
    </w:p>
    <w:p>
      <w:pPr>
        <w:spacing w:after="160" w:line="300"/>
      </w:pPr>
      <w:r>
        <w:rPr>
          <w:sz w:val="22"/>
          <w:szCs w:val="22"/>
        </w:rPr>
        <w:t xml:space="preserve">A few old addresses were forwarded correctly, which shows the mechanism is in place, just not applied consistently. Two smaller points on these: some forwards take two hops to arrive rather than one, which weakens the signal slightly, and some send a very specific old page to a broad general page (for example, the old governance, risk and compliance page now forwards to the general cyber security page). Where a closer match exists, the forward should point there.</w:t>
      </w:r>
    </w:p>
    <w:p>
      <w:pPr>
        <w:pStyle w:val="Heading2"/>
        <w:spacing w:after="120" w:before="280"/>
      </w:pPr>
      <w:r>
        <w:rPr>
          <w:color w:val="1F3654"/>
        </w:rPr>
        <w:t xml:space="preserve">5. The sitemap needs housekeeping</w:t>
      </w:r>
    </w:p>
    <w:p>
      <w:pPr>
        <w:spacing w:after="160" w:line="300"/>
      </w:pPr>
      <w:r>
        <w:rPr>
          <w:sz w:val="22"/>
          <w:szCs w:val="22"/>
        </w:rPr>
        <w:t xml:space="preserve">The sitemap is a file that tells Google which pages you want it to pay attention to. Yours currently also lists things that should not be in there, such as pop-up components, testimonial snippets, and an author archive. This is not causing the traffic loss, but it wastes Google's attention and is easy to tidy.</w:t>
      </w:r>
    </w:p>
    <w:p>
      <w:pPr>
        <w:pStyle w:val="Heading1"/>
        <w:spacing w:after="160" w:before="360"/>
      </w:pPr>
      <w:r>
        <w:rPr>
          <w:color w:val="1F3654"/>
        </w:rPr>
        <w:t xml:space="preserve">How to fix it</w:t>
      </w:r>
    </w:p>
    <w:p>
      <w:pPr>
        <w:spacing w:after="160" w:line="300"/>
      </w:pPr>
      <w:r>
        <w:rPr>
          <w:sz w:val="22"/>
          <w:szCs w:val="22"/>
        </w:rPr>
        <w:t xml:space="preserve">None of this requires another rebuild, and none of it touches how the site looks. It is a focused technical exercise:</w:t>
      </w:r>
    </w:p>
    <w:p>
      <w:pPr>
        <w:pStyle w:val="ListParagraph"/>
        <w:numPr>
          <w:ilvl w:val="0"/>
          <w:numId w:val="2"/>
        </w:numPr>
        <w:spacing w:after="120" w:line="300"/>
      </w:pPr>
      <w:r>
        <w:rPr>
          <w:b/>
          <w:bCs/>
          <w:sz w:val="22"/>
          <w:szCs w:val="22"/>
        </w:rPr>
        <w:t xml:space="preserve">Build a complete redirect map. </w:t>
      </w:r>
      <w:r>
        <w:rPr>
          <w:sz w:val="22"/>
          <w:szCs w:val="22"/>
        </w:rPr>
        <w:t xml:space="preserve">Pull the full list of old addresses from Google Search Console, your analytics, and Ahrefs, then give every old address one clean forward to the closest matching page on the new site. Not to the homepage as a catch-all; to the page that actually answers the same need.</w:t>
      </w:r>
    </w:p>
    <w:p>
      <w:pPr>
        <w:pStyle w:val="ListParagraph"/>
        <w:numPr>
          <w:ilvl w:val="0"/>
          <w:numId w:val="2"/>
        </w:numPr>
        <w:spacing w:after="120" w:line="300"/>
      </w:pPr>
      <w:r>
        <w:rPr>
          <w:b/>
          <w:bCs/>
          <w:sz w:val="22"/>
          <w:szCs w:val="22"/>
        </w:rPr>
        <w:t xml:space="preserve">Fix the image-file redirect </w:t>
      </w:r>
      <w:r>
        <w:rPr>
          <w:sz w:val="22"/>
          <w:szCs w:val="22"/>
        </w:rPr>
        <w:t xml:space="preserve">so the old managed IT services address forwards to the new managed IT services page.</w:t>
      </w:r>
    </w:p>
    <w:p>
      <w:pPr>
        <w:pStyle w:val="ListParagraph"/>
        <w:numPr>
          <w:ilvl w:val="0"/>
          <w:numId w:val="2"/>
        </w:numPr>
        <w:spacing w:after="120" w:line="300"/>
      </w:pPr>
      <w:r>
        <w:rPr>
          <w:b/>
          <w:bCs/>
          <w:sz w:val="22"/>
          <w:szCs w:val="22"/>
        </w:rPr>
        <w:t xml:space="preserve">Decide on the missing topics. </w:t>
      </w:r>
      <w:r>
        <w:rPr>
          <w:sz w:val="22"/>
          <w:szCs w:val="22"/>
        </w:rPr>
        <w:t xml:space="preserve">For each old page with no equivalent, either reinstate a page for it on the new site or consciously let it go. The small business and SME pages, and the cyber security service pages, are the ones we would argue for reinstating: they were ranking and they map to services you sell.</w:t>
      </w:r>
    </w:p>
    <w:p>
      <w:pPr>
        <w:pStyle w:val="ListParagraph"/>
        <w:numPr>
          <w:ilvl w:val="0"/>
          <w:numId w:val="2"/>
        </w:numPr>
        <w:spacing w:after="120" w:line="300"/>
      </w:pPr>
      <w:r>
        <w:rPr>
          <w:b/>
          <w:bCs/>
          <w:sz w:val="22"/>
          <w:szCs w:val="22"/>
        </w:rPr>
        <w:t xml:space="preserve">Tidy the sitemap </w:t>
      </w:r>
      <w:r>
        <w:rPr>
          <w:sz w:val="22"/>
          <w:szCs w:val="22"/>
        </w:rPr>
        <w:t xml:space="preserve">so it lists your real pages and posts and nothing else.</w:t>
      </w:r>
    </w:p>
    <w:p>
      <w:pPr>
        <w:pStyle w:val="ListParagraph"/>
        <w:numPr>
          <w:ilvl w:val="0"/>
          <w:numId w:val="2"/>
        </w:numPr>
        <w:spacing w:after="120" w:line="300"/>
      </w:pPr>
      <w:r>
        <w:rPr>
          <w:b/>
          <w:bCs/>
          <w:sz w:val="22"/>
          <w:szCs w:val="22"/>
        </w:rPr>
        <w:t xml:space="preserve">Tell Google, then check its own report. </w:t>
      </w:r>
      <w:r>
        <w:rPr>
          <w:sz w:val="22"/>
          <w:szCs w:val="22"/>
        </w:rPr>
        <w:t xml:space="preserve">In Google Search Console (which only you have access to), resubmit the sitemap, review the Page Indexing report to watch the errors clear, and confirm under Manual Actions that nothing else is flagged. We would expect that report to be clean, which would confirm this is purely a migration issue.</w:t>
      </w:r>
    </w:p>
    <w:p>
      <w:pPr>
        <w:pStyle w:val="ListParagraph"/>
        <w:numPr>
          <w:ilvl w:val="0"/>
          <w:numId w:val="2"/>
        </w:numPr>
        <w:spacing w:after="120" w:line="300"/>
      </w:pPr>
      <w:r>
        <w:rPr>
          <w:b/>
          <w:bCs/>
          <w:sz w:val="22"/>
          <w:szCs w:val="22"/>
        </w:rPr>
        <w:t xml:space="preserve">Then leave the addresses alone. </w:t>
      </w:r>
      <w:r>
        <w:rPr>
          <w:sz w:val="22"/>
          <w:szCs w:val="22"/>
        </w:rPr>
        <w:t xml:space="preserve">This is the step people skip. Once the forwards are in, the page addresses need to stay frozen while Google re-evaluates the site. Every further change of address restarts that clock. We would recommend no URL changes at all for at least three months after the fix.</w:t>
      </w:r>
    </w:p>
    <w:p>
      <w:pPr>
        <w:pStyle w:val="Heading1"/>
        <w:spacing w:after="160" w:before="360"/>
      </w:pPr>
      <w:r>
        <w:rPr>
          <w:color w:val="1F3654"/>
        </w:rPr>
        <w:t xml:space="preserve">What to expect afterwards</w:t>
      </w:r>
    </w:p>
    <w:p>
      <w:pPr>
        <w:spacing w:after="160" w:line="300"/>
      </w:pPr>
      <w:r>
        <w:rPr>
          <w:sz w:val="22"/>
          <w:szCs w:val="22"/>
        </w:rPr>
        <w:t xml:space="preserve">Recovery is not instant. Google re-crawls and re-scores a site of this size over weeks, and in our experience the rankings that were lost to missing forwards start reappearing within four to eight weeks of the fix, with fuller recovery inside a quarter. The sooner the forwards go in, the better: the longer a page stays dead, the more Google treats its removal as permanent.</w:t>
      </w:r>
    </w:p>
    <w:p>
      <w:pPr>
        <w:spacing w:after="160" w:line="300"/>
      </w:pPr>
      <w:r>
        <w:rPr>
          <w:sz w:val="22"/>
          <w:szCs w:val="22"/>
        </w:rPr>
        <w:t xml:space="preserve">One honest note on scale. Even before the rebuild, the site was earning a modest 100 to 220 visits a month from Google, which is a fraction of what the Bristol market searches for. Fixing the migration gets you back to that baseline. Growing beyond it, to the point where the website is a steady source of enquiries, is a separate piece of work involving proper service and location pages, and we would be glad to talk about that once the repair is done. First things first though: stop the leak.</w:t>
      </w:r>
    </w:p>
    <w:p>
      <w:pPr>
        <w:pStyle w:val="Heading1"/>
        <w:spacing w:after="160" w:before="360"/>
      </w:pPr>
      <w:r>
        <w:rPr>
          <w:color w:val="1F3654"/>
        </w:rPr>
        <w:t xml:space="preserve">Questions</w:t>
      </w:r>
    </w:p>
    <w:p>
      <w:pPr>
        <w:spacing w:after="160" w:line="300"/>
      </w:pPr>
      <w:r>
        <w:rPr>
          <w:sz w:val="22"/>
          <w:szCs w:val="22"/>
        </w:rPr>
        <w:t xml:space="preserve">We are happy to walk through any of this with whoever built or maintains the site; everything above can be shown live in a browser in a few minutes. If it is useful, we can also supply the full list of old addresses we checked and their current behaviour as a spreadsheet for your developers to work from.</w:t>
      </w:r>
    </w:p>
    <w:p>
      <w:pPr>
        <w:spacing w:before="240"/>
      </w:pPr>
      <w:r>
        <w:rPr>
          <w:color w:val="595959"/>
          <w:sz w:val="20"/>
          <w:szCs w:val="20"/>
        </w:rPr>
        <w:t xml:space="preserve">TenTerms  ·  seo@tenterms.com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654"/>
      <w:sz w:val="30"/>
      <w:szCs w:val="30"/>
    </w:rPr>
  </w:style>
  <w:style w:type="paragraph" w:styleId="Heading2">
    <w:name w:val="Heading 2"/>
    <w:basedOn w:val="Normal"/>
    <w:next w:val="Normal"/>
    <w:qFormat/>
    <w:rPr>
      <w:rFonts w:ascii="Calibri" w:cs="Calibri" w:eastAsia="Calibri" w:hAnsi="Calibri"/>
      <w:b/>
      <w:bCs/>
      <w:color w:val="1F365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2026-08-07T12:49:25.609Z</dcterms:created>
  <dcterms:modified xsi:type="dcterms:W3CDTF">2026-08-07T12:49:25.610Z</dcterms:modified>
</cp:coreProperties>
</file>

<file path=docProps/custom.xml><?xml version="1.0" encoding="utf-8"?>
<Properties xmlns="http://schemas.openxmlformats.org/officeDocument/2006/custom-properties" xmlns:vt="http://schemas.openxmlformats.org/officeDocument/2006/docPropsVTypes"/>
</file>