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1F3864"/>
          <w:sz w:val="34"/>
          <w:szCs w:val="34"/>
        </w:rPr>
        <w:t xml:space="preserve">Harrison Clarke × TenTerms</w:t>
      </w:r>
    </w:p>
    <w:p>
      <w:pPr>
        <w:spacing w:after="140"/>
      </w:pPr>
      <w:r>
        <w:rPr>
          <w:color w:val="595959"/>
          <w:sz w:val="22"/>
          <w:szCs w:val="22"/>
        </w:rPr>
        <w:t xml:space="preserve">The first 90 days — what we would do, what we would need, and what changes for your team</w:t>
      </w:r>
    </w:p>
    <w:p>
      <w:pPr>
        <w:spacing w:after="140"/>
      </w:pPr>
      <w:r>
        <w:rPr>
          <w:sz w:val="19"/>
          <w:szCs w:val="19"/>
        </w:rPr>
        <w:t xml:space="preserve">This is a defined 90-day sprint with an off-ramp, not an open-ended retainer. Its single job is to point the content engine you have already built — the reviews, the blog library, Holly’s production capacity — at your highest-value work: dilapidations (especially London), expert witness, commercial building surveys and party wall. Residential enquiries will still come, but they are a byproduct, not the target. Nothing here replaces your internal marketing; it feeds it.</w:t>
      </w:r>
    </w:p>
    <w:p>
      <w:pPr>
        <w:pBdr>
          <w:bottom w:val="single" w:color="1F3864" w:sz="6"/>
        </w:pBdr>
        <w:spacing w:after="60" w:before="160"/>
      </w:pPr>
      <w:r>
        <w:rPr>
          <w:b/>
          <w:bCs/>
          <w:color w:val="1F3864"/>
          <w:sz w:val="24"/>
          <w:szCs w:val="24"/>
        </w:rPr>
        <w:t xml:space="preserve">The 90-day plan</w:t>
      </w:r>
    </w:p>
    <w:p>
      <w:pPr>
        <w:spacing w:after="40" w:before="120"/>
      </w:pPr>
      <w:r>
        <w:rPr>
          <w:b/>
          <w:bCs/>
          <w:color w:val="C00000"/>
          <w:sz w:val="20"/>
          <w:szCs w:val="20"/>
        </w:rPr>
        <w:t xml:space="preserve">Month 1</w:t>
      </w:r>
      <w:r>
        <w:rPr>
          <w:b/>
          <w:bCs/>
          <w:sz w:val="20"/>
          <w:szCs w:val="20"/>
        </w:rPr>
        <w:t xml:space="preserve">  Aim — point everything at the money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Commercial keyword map: a page-by-page list of exactly which search term each page should own, across the four high-value service lines.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Written briefs for the money pages: a new “Dilapidations Survey London” service page, and re-targeted expert witness, commercial building survey, schedule of dilapidations and party wall pages.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Internal link plan: your blog guides already rank — we wire their authority into the service pages they should be selling for.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Housekeeping from the domain migration (e.g. Trustpilot still points at the old .co address) — small fixes that also improve how AI tools describe you.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Measurement first: baseline rankings and an enquiry-attribution set-up designed with Holly, so every enquiry is tagged by source and service line from day one.</w:t>
      </w:r>
    </w:p>
    <w:p>
      <w:pPr>
        <w:spacing w:after="100"/>
      </w:pPr>
      <w:r>
        <w:rPr>
          <w:i/>
          <w:iCs/>
          <w:color w:val="595959"/>
          <w:sz w:val="19"/>
          <w:szCs w:val="19"/>
        </w:rPr>
        <w:t xml:space="preserve">End of month 1: the targeting map agreed, the first briefs in Holly’s hands, tracking live.</w:t>
      </w:r>
    </w:p>
    <w:p>
      <w:pPr>
        <w:spacing w:after="40" w:before="120"/>
      </w:pPr>
      <w:r>
        <w:rPr>
          <w:b/>
          <w:bCs/>
          <w:color w:val="C00000"/>
          <w:sz w:val="20"/>
          <w:szCs w:val="20"/>
        </w:rPr>
        <w:t xml:space="preserve">Month 2</w:t>
      </w:r>
      <w:r>
        <w:rPr>
          <w:b/>
          <w:bCs/>
          <w:sz w:val="20"/>
          <w:szCs w:val="20"/>
        </w:rPr>
        <w:t xml:space="preserve">  Build — publish the pages that sell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Holly publishes the rewritten money pages from our briefs; we quality-check each one before and after it goes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The London dilapidations page goes live, supported by the blog post that already ranks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Cost and pricing content for the high-value lines (party wall cost, dilapidations costs) — the “They Ask, You Answer” pillar the site has never had, on queries your Search Console already shows thousands of impressions for.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Expert witness page rebuilt and linked from your CPR guides, which currently outrank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Second batch of briefs; London Google Business Profile and review push started.</w:t>
      </w:r>
    </w:p>
    <w:p>
      <w:pPr>
        <w:spacing w:after="100"/>
      </w:pPr>
      <w:r>
        <w:rPr>
          <w:i/>
          <w:iCs/>
          <w:color w:val="595959"/>
          <w:sz w:val="19"/>
          <w:szCs w:val="19"/>
        </w:rPr>
        <w:t xml:space="preserve">End of month 2: every priority page live on the right target; first ranking movement measurable.</w:t>
      </w:r>
    </w:p>
    <w:p>
      <w:pPr>
        <w:spacing w:after="40" w:before="120"/>
      </w:pPr>
      <w:r>
        <w:rPr>
          <w:b/>
          <w:bCs/>
          <w:color w:val="C00000"/>
          <w:sz w:val="20"/>
          <w:szCs w:val="20"/>
        </w:rPr>
        <w:t xml:space="preserve">Month 3</w:t>
      </w:r>
      <w:r>
        <w:rPr>
          <w:b/>
          <w:bCs/>
          <w:sz w:val="20"/>
          <w:szCs w:val="20"/>
        </w:rPr>
        <w:t xml:space="preserve">  Prove — evidence, then a decision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Commercial survey / technical due diligence content and the remaining briefs.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Rank and enquiry review against the month-1 baseline, service line by service 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Day-90 review with Tim and Faye: what moved, what it is worth on your own fees and close rates, and a keep/stop decision made from evidence — the off-ramp is real.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End of month 3: a decision based on your numbers, not our promises.</w:t>
      </w:r>
    </w:p>
    <w:p>
      <w:pPr>
        <w:pBdr>
          <w:bottom w:val="single" w:color="1F3864" w:sz="6"/>
        </w:pBdr>
        <w:spacing w:after="60" w:before="160"/>
      </w:pPr>
      <w:r>
        <w:rPr>
          <w:b/>
          <w:bCs/>
          <w:color w:val="1F3864"/>
          <w:sz w:val="24"/>
          <w:szCs w:val="24"/>
        </w:rPr>
        <w:t xml:space="preserve">What we would need from you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shd w:fill="EDEFF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Week 1 access</w:t>
            </w:r>
          </w:p>
        </w:tc>
        <w:tc>
          <w:tcPr>
            <w:tcW w:type="dxa" w:w="6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Google Search Console, Analytics, the website CMS, Hike, Google Business Profiles, and wherever enquiries land (inbox/CRM). One short kick-off call.</w:t>
            </w:r>
          </w:p>
        </w:tc>
      </w:tr>
      <w:tr>
        <w:tc>
          <w:tcPr>
            <w:tcW w:type="dxa" w:w="2200"/>
            <w:shd w:fill="EDEFF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Holly</w:t>
            </w:r>
          </w:p>
        </w:tc>
        <w:tc>
          <w:tcPr>
            <w:tcW w:type="dxa" w:w="6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2–3 hours a week: publishing pages and posts from our briefs, gathering service details, chasing sign-offs. She stays the owner of content and social.</w:t>
            </w:r>
          </w:p>
        </w:tc>
      </w:tr>
      <w:tr>
        <w:tc>
          <w:tcPr>
            <w:tcW w:type="dxa" w:w="2200"/>
            <w:shd w:fill="EDEFF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Tim / Faye</w:t>
            </w:r>
          </w:p>
        </w:tc>
        <w:tc>
          <w:tcPr>
            <w:tcW w:type="dxa" w:w="6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30–45 minutes a month: technical sign-off on service-page copy (RICS accuracy), plus London and expert-witness case examples and testimonials we can quote.</w:t>
            </w:r>
          </w:p>
        </w:tc>
      </w:tr>
      <w:tr>
        <w:tc>
          <w:tcPr>
            <w:tcW w:type="dxa" w:w="2200"/>
            <w:shd w:fill="EDEFF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The numbers</w:t>
            </w:r>
          </w:p>
        </w:tc>
        <w:tc>
          <w:tcPr>
            <w:tcW w:type="dxa" w:w="6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Monthly enquiry counts by service line (even rough ones). This is what lets us report in instructions and fees rather than rankings.</w:t>
            </w:r>
          </w:p>
        </w:tc>
      </w:tr>
    </w:tbl>
    <w:p>
      <w:pPr>
        <w:spacing w:after="40"/>
      </w:pPr>
      <w:r>
        <w:rPr>
          <w:sz w:val="19"/>
          <w:szCs w:val="19"/>
        </w:rPr>
        <w:t xml:space="preserve"/>
      </w:r>
    </w:p>
    <w:p>
      <w:pPr>
        <w:pBdr>
          <w:bottom w:val="single" w:color="1F3864" w:sz="6"/>
        </w:pBdr>
        <w:spacing w:after="60" w:before="160"/>
      </w:pPr>
      <w:r>
        <w:rPr>
          <w:b/>
          <w:bCs/>
          <w:color w:val="1F3864"/>
          <w:sz w:val="24"/>
          <w:szCs w:val="24"/>
        </w:rPr>
        <w:t xml:space="preserve">What changes for Holly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</w:rPr>
        <w:t xml:space="preserve">Roughly 10 hours a week of SEO comes off her plate </w:t>
      </w:r>
      <w:r>
        <w:rPr>
          <w:sz w:val="19"/>
          <w:szCs w:val="19"/>
        </w:rPr>
        <w:t xml:space="preserve">— the keyword research, targeting decisions and Hike interpretation that are a specialist’s job, not a fair ask of someone running all of marketing.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She receives ready-made briefs — target phrase, page structure, internal links — and keeps full ownership of writing, publishing and social. Her involvement drops to 2–3 hours a week: gathering information, sign-offs, and pushing content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The attribution set-up is built for her as much as for us: when an enquiry becomes an instruction, the report shows which page produced it — visible proof of her impact, in fees rather than traffic.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Nothing she has built is discarded. The blog library is the asset that makes this plan work; we are re-aiming it, not replacing it.</w:t>
      </w:r>
    </w:p>
    <w:p>
      <w:pPr>
        <w:pBdr>
          <w:bottom w:val="single" w:color="1F3864" w:sz="6"/>
        </w:pBdr>
        <w:spacing w:after="60" w:before="160"/>
      </w:pPr>
      <w:r>
        <w:rPr>
          <w:b/>
          <w:bCs/>
          <w:color w:val="1F3864"/>
          <w:sz w:val="24"/>
          <w:szCs w:val="24"/>
        </w:rPr>
        <w:t xml:space="preserve">What it is worth (on your figures, not ours)</w:t>
      </w:r>
    </w:p>
    <w:p>
      <w:pPr>
        <w:spacing w:after="80"/>
      </w:pPr>
      <w:r>
        <w:rPr>
          <w:sz w:val="19"/>
          <w:szCs w:val="19"/>
        </w:rPr>
        <w:t xml:space="preserve">Every number below uses the fees and close rates Tim gave us — dilapidations instructions at £2,500–£8,000, expert witness against the £150k Southampton gap Tim has already quantified, commercial surveys at £2,500 average, party wall converting 1 enquiry in 2 at ~£1,350 per award. Residential work is excluded from the targets; anything it adds is upside.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1800"/>
        <w:gridCol w:w="1800"/>
      </w:tblGrid>
      <w:tr>
        <w:tc>
          <w:tcPr>
            <w:tcW w:type="dxa" w:w="36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12-month incremental (your fees &amp; close rates)</w:t>
            </w:r>
          </w:p>
        </w:tc>
        <w:tc>
          <w:tcPr>
            <w:tcW w:type="dxa" w:w="18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Conservative</w:t>
            </w:r>
          </w:p>
        </w:tc>
        <w:tc>
          <w:tcPr>
            <w:tcW w:type="dxa" w:w="18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Realistic</w:t>
            </w:r>
          </w:p>
        </w:tc>
        <w:tc>
          <w:tcPr>
            <w:tcW w:type="dxa" w:w="18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Stretch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Dilapidations (London-led)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£12k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£36k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£64k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Expert witness (share of the £150k gap)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£15k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£37k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£75k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Commercial building surveys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£10k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£22k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£38k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Party wall (Southampton + London)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£16k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£32k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£49k</w:t>
            </w:r>
          </w:p>
        </w:tc>
      </w:tr>
      <w:tr>
        <w:tc>
          <w:tcPr>
            <w:tcW w:type="dxa" w:w="3600"/>
            <w:shd w:fill="EDEFF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Total new revenue</w:t>
            </w:r>
          </w:p>
        </w:tc>
        <w:tc>
          <w:tcPr>
            <w:tcW w:type="dxa" w:w="1800"/>
            <w:shd w:fill="EDEFF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~£53k</w:t>
            </w:r>
          </w:p>
        </w:tc>
        <w:tc>
          <w:tcPr>
            <w:tcW w:type="dxa" w:w="1800"/>
            <w:shd w:fill="EDEFF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~£128k</w:t>
            </w:r>
          </w:p>
        </w:tc>
        <w:tc>
          <w:tcPr>
            <w:tcW w:type="dxa" w:w="1800"/>
            <w:shd w:fill="EDEFF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~£225k</w:t>
            </w:r>
          </w:p>
        </w:tc>
      </w:tr>
    </w:tbl>
    <w:p>
      <w:pPr>
        <w:spacing w:after="40"/>
      </w:pPr>
      <w:r>
        <w:rPr>
          <w:sz w:val="19"/>
          <w:szCs w:val="19"/>
        </w:rPr>
        <w:t xml:space="preserve"/>
      </w:r>
    </w:p>
    <w:p>
      <w:pPr>
        <w:spacing w:after="0"/>
      </w:pPr>
      <w:r>
        <w:rPr>
          <w:color w:val="595959"/>
          <w:sz w:val="19"/>
          <w:szCs w:val="19"/>
        </w:rPr>
        <w:t xml:space="preserve">Two honest notes on margin. First, these are year-one figures while the pages climb; the same pages keep producing in year two without being rebuilt — this is an asset build, not a spend. Second, a blended 20% net margin includes all of your fixed costs; an additional instruction into existing capacity contributes at a much higher rate than 20%, and the high-value lines above are exactly the work where that is true.</w:t>
      </w:r>
    </w:p>
    <w:sectPr>
      <w:pgSz w:w="11906" w:h="16838" w:orient="portrait"/>
      <w:pgMar w:top="680" w:right="900" w:bottom="6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start"/>
      <w:pPr>
        <w:ind w:left="3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>
      <w:pPr>
        <w:spacing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2026-09-04T11:14:42.860Z</dcterms:created>
  <dcterms:modified xsi:type="dcterms:W3CDTF">2026-09-04T11:14:42.860Z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