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2"/>
          <w:szCs w:val="22"/>
        </w:rPr>
        <w:t xml:space="preserve">Prospect Briefing</w:t>
      </w:r>
    </w:p>
    <w:p>
      <w:pPr>
        <w:spacing w:after="120"/>
      </w:pPr>
      <w:r>
        <w:rPr>
          <w:b/>
          <w:bCs/>
          <w:color w:val="1F3251"/>
          <w:sz w:val="44"/>
          <w:szCs w:val="44"/>
        </w:rPr>
        <w:t xml:space="preserve">ANother Managed IT Services Ltd</w:t>
      </w:r>
    </w:p>
    <w:p>
      <w:pPr>
        <w:pBdr>
          <w:bottom w:val="single" w:color="1F3251" w:sz="6"/>
        </w:pBdr>
        <w:spacing w:after="240"/>
      </w:pPr>
      <w:r>
        <w:rPr>
          <w:i/>
          <w:iCs/>
          <w:color w:val="595959"/>
        </w:rPr>
        <w:t xml:space="preserve">Prepared 3 August 2026. Research is a desk exercise plus a live SERP spot check; it is not a full rank-tracked audit.</w:t>
      </w:r>
    </w:p>
    <w:p>
      <w:pPr>
        <w:pStyle w:val="Heading1"/>
        <w:spacing w:after="160" w:before="360"/>
      </w:pPr>
      <w:r>
        <w:t xml:space="preserve">1.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
            </w:r>
          </w:p>
        </w:tc>
        <w:tc>
          <w:tcPr>
            <w:tcW w:type="dxa" w:w="7126"/>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
            </w:r>
          </w:p>
        </w:tc>
      </w:tr>
      <w:tr>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
            </w:r>
            <w:r>
              <w:rPr>
                <w:b/>
                <w:bCs/>
                <w:sz w:val="20"/>
                <w:szCs w:val="20"/>
              </w:rPr>
              <w:t xml:space="preserve">Company</w:t>
            </w:r>
            <w:r>
              <w:rPr>
                <w:b w:val="false"/>
                <w:bCs w:val="false"/>
                <w:sz w:val="20"/>
                <w:szCs w:val="20"/>
              </w:rPr>
              <w:t xml:space="preserve"/>
            </w:r>
          </w:p>
        </w:tc>
        <w:tc>
          <w:tcPr>
            <w:tcW w:type="dxa" w:w="71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ANother Managed IT Services Ltd (trades as “ANother IT” / “ANother Managed IT Services”)</w:t>
            </w:r>
          </w:p>
        </w:tc>
      </w:tr>
      <w:tr>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
            </w:r>
            <w:r>
              <w:rPr>
                <w:b/>
                <w:bCs/>
                <w:sz w:val="20"/>
                <w:szCs w:val="20"/>
              </w:rPr>
              <w:t xml:space="preserve">What they do</w:t>
            </w:r>
            <w:r>
              <w:rPr>
                <w:b w:val="false"/>
                <w:bCs w:val="false"/>
                <w:sz w:val="20"/>
                <w:szCs w:val="20"/>
              </w:rPr>
              <w:t xml:space="preserve"/>
            </w:r>
          </w:p>
        </w:tc>
        <w:tc>
          <w:tcPr>
            <w:tcW w:type="dxa" w:w="71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Managed IT services (MSP) for small and mid-sized businesses: IT support, cyber security, Microsoft 365, backup and DR, VoIP, cabling, CCTV/AV, photocopiers</w:t>
            </w:r>
          </w:p>
        </w:tc>
      </w:tr>
      <w:tr>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
            </w:r>
            <w:r>
              <w:rPr>
                <w:b/>
                <w:bCs/>
                <w:sz w:val="20"/>
                <w:szCs w:val="20"/>
              </w:rPr>
              <w:t xml:space="preserve">Location</w:t>
            </w:r>
            <w:r>
              <w:rPr>
                <w:b w:val="false"/>
                <w:bCs w:val="false"/>
                <w:sz w:val="20"/>
                <w:szCs w:val="20"/>
              </w:rPr>
              <w:t xml:space="preserve"/>
            </w:r>
          </w:p>
        </w:tc>
        <w:tc>
          <w:tcPr>
            <w:tcW w:type="dxa" w:w="71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Alton, Hampshire (Office F11, Charwell House, Wilsom Rd, GU34 2PP), second line in Farnham; serves Hampshire, Surrey and London</w:t>
            </w:r>
          </w:p>
        </w:tc>
      </w:tr>
      <w:tr>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
            </w:r>
            <w:r>
              <w:rPr>
                <w:b/>
                <w:bCs/>
                <w:sz w:val="20"/>
                <w:szCs w:val="20"/>
              </w:rPr>
              <w:t xml:space="preserve">Website</w:t>
            </w:r>
            <w:r>
              <w:rPr>
                <w:b w:val="false"/>
                <w:bCs w:val="false"/>
                <w:sz w:val="20"/>
                <w:szCs w:val="20"/>
              </w:rPr>
              <w:t xml:space="preserve"/>
            </w:r>
          </w:p>
        </w:tc>
        <w:tc>
          <w:tcPr>
            <w:tcW w:type="dxa" w:w="71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https://anotherit.co.uk/</w:t>
            </w:r>
          </w:p>
        </w:tc>
      </w:tr>
      <w:tr>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
            </w:r>
            <w:r>
              <w:rPr>
                <w:b/>
                <w:bCs/>
                <w:sz w:val="20"/>
                <w:szCs w:val="20"/>
              </w:rPr>
              <w:t xml:space="preserve">Company number</w:t>
            </w:r>
            <w:r>
              <w:rPr>
                <w:b w:val="false"/>
                <w:bCs w:val="false"/>
                <w:sz w:val="20"/>
                <w:szCs w:val="20"/>
              </w:rPr>
              <w:t xml:space="preserve"/>
            </w:r>
          </w:p>
        </w:tc>
        <w:tc>
          <w:tcPr>
            <w:tcW w:type="dxa" w:w="71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15908359 (incorporated 20 August 2024)</w:t>
            </w:r>
          </w:p>
        </w:tc>
      </w:tr>
      <w:tr>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
            </w:r>
            <w:r>
              <w:rPr>
                <w:b/>
                <w:bCs/>
                <w:sz w:val="20"/>
                <w:szCs w:val="20"/>
              </w:rPr>
              <w:t xml:space="preserve">Headcount</w:t>
            </w:r>
            <w:r>
              <w:rPr>
                <w:b w:val="false"/>
                <w:bCs w:val="false"/>
                <w:sz w:val="20"/>
                <w:szCs w:val="20"/>
              </w:rPr>
              <w:t xml:space="preserve"/>
            </w:r>
          </w:p>
        </w:tc>
        <w:tc>
          <w:tcPr>
            <w:tcW w:type="dxa" w:w="71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5 average employees (first accounts, period to 31 Aug 2025)</w:t>
            </w:r>
          </w:p>
        </w:tc>
      </w:tr>
      <w:tr>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
            </w:r>
            <w:r>
              <w:rPr>
                <w:b/>
                <w:bCs/>
                <w:sz w:val="20"/>
                <w:szCs w:val="20"/>
              </w:rPr>
              <w:t xml:space="preserve">Turnover</w:t>
            </w:r>
            <w:r>
              <w:rPr>
                <w:b w:val="false"/>
                <w:bCs w:val="false"/>
                <w:sz w:val="20"/>
                <w:szCs w:val="20"/>
              </w:rPr>
              <w:t xml:space="preserve"/>
            </w:r>
          </w:p>
        </w:tc>
        <w:tc>
          <w:tcPr>
            <w:tcW w:type="dxa" w:w="71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Not disclosed (filleted accounts). Estimated £500k–£1m, based on 5 employees at typical MSP revenue per head of £100k–£200k</w:t>
            </w:r>
          </w:p>
        </w:tc>
      </w:tr>
      <w:tr>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
            </w:r>
            <w:r>
              <w:rPr>
                <w:b/>
                <w:bCs/>
                <w:sz w:val="20"/>
                <w:szCs w:val="20"/>
              </w:rPr>
              <w:t xml:space="preserve">Key people</w:t>
            </w:r>
            <w:r>
              <w:rPr>
                <w:b w:val="false"/>
                <w:bCs w:val="false"/>
                <w:sz w:val="20"/>
                <w:szCs w:val="20"/>
              </w:rPr>
              <w:t xml:space="preserve"/>
            </w:r>
          </w:p>
        </w:tc>
        <w:tc>
          <w:tcPr>
            <w:tcW w:type="dxa" w:w="71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Aaron Nother, founder, sole director and 75%+ owner (decision maker). Pepita Aiano, company secretary</w:t>
            </w:r>
          </w:p>
        </w:tc>
      </w:tr>
      <w:tr>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
            </w:r>
            <w:r>
              <w:rPr>
                <w:b/>
                <w:bCs/>
                <w:sz w:val="20"/>
                <w:szCs w:val="20"/>
              </w:rPr>
              <w:t xml:space="preserve">Source of lead</w:t>
            </w:r>
            <w:r>
              <w:rPr>
                <w:b w:val="false"/>
                <w:bCs w:val="false"/>
                <w:sz w:val="20"/>
                <w:szCs w:val="20"/>
              </w:rPr>
              <w:t xml:space="preserve"/>
            </w:r>
          </w:p>
        </w:tc>
        <w:tc>
          <w:tcPr>
            <w:tcW w:type="dxa" w:w="71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Not established, assume cold/outbound</w:t>
            </w:r>
          </w:p>
        </w:tc>
      </w:tr>
    </w:tbl>
    <w:p>
      <w:pPr>
        <w:spacing w:after="160"/>
      </w:pPr>
    </w:p>
    <w:p>
      <w:pPr>
        <w:pStyle w:val="Heading1"/>
        <w:spacing w:after="160" w:before="360"/>
      </w:pPr>
      <w:r>
        <w:t xml:space="preserve">2. Prospect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526"/>
      </w:tblGrid>
      <w:tr>
        <w:trPr>
          <w:tblHeader/>
        </w:trPr>
        <w:tc>
          <w:tcPr>
            <w:tcW w:type="dxa" w:w="32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Dimension</w:t>
            </w:r>
          </w:p>
        </w:tc>
        <w:tc>
          <w:tcPr>
            <w:tcW w:type="dxa" w:w="13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Score</w:t>
            </w:r>
          </w:p>
        </w:tc>
        <w:tc>
          <w:tcPr>
            <w:tcW w:type="dxa" w:w="4526"/>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Visual</w:t>
            </w:r>
          </w:p>
        </w:tc>
      </w:tr>
      <w:tr>
        <w:tc>
          <w:tcPr>
            <w:tcW w:type="dxa" w:w="3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ICP Fit</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9/10</w:t>
            </w:r>
          </w:p>
        </w:tc>
        <w:tc>
          <w:tcPr>
            <w:tcW w:type="dxa" w:w="4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w:t>
            </w:r>
          </w:p>
        </w:tc>
      </w:tr>
      <w:tr>
        <w:tc>
          <w:tcPr>
            <w:tcW w:type="dxa" w:w="3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Search Opportunity</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9/10</w:t>
            </w:r>
          </w:p>
        </w:tc>
        <w:tc>
          <w:tcPr>
            <w:tcW w:type="dxa" w:w="4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w:t>
            </w:r>
          </w:p>
        </w:tc>
      </w:tr>
      <w:tr>
        <w:tc>
          <w:tcPr>
            <w:tcW w:type="dxa" w:w="3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Lead Value</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8/10</w:t>
            </w:r>
          </w:p>
        </w:tc>
        <w:tc>
          <w:tcPr>
            <w:tcW w:type="dxa" w:w="4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w:t>
            </w:r>
          </w:p>
        </w:tc>
      </w:tr>
      <w:tr>
        <w:tc>
          <w:tcPr>
            <w:tcW w:type="dxa" w:w="3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Decision Reachability</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7/10</w:t>
            </w:r>
          </w:p>
        </w:tc>
        <w:tc>
          <w:tcPr>
            <w:tcW w:type="dxa" w:w="4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w:t>
            </w:r>
          </w:p>
        </w:tc>
      </w:tr>
      <w:tr>
        <w:tc>
          <w:tcPr>
            <w:tcW w:type="dxa" w:w="3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Ability to Pay</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6/10</w:t>
            </w:r>
          </w:p>
        </w:tc>
        <w:tc>
          <w:tcPr>
            <w:tcW w:type="dxa" w:w="4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w:t>
            </w:r>
          </w:p>
        </w:tc>
      </w:tr>
      <w:tr>
        <w:tc>
          <w:tcPr>
            <w:tcW w:type="dxa" w:w="3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Strategic Value</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6/10</w:t>
            </w:r>
          </w:p>
        </w:tc>
        <w:tc>
          <w:tcPr>
            <w:tcW w:type="dxa" w:w="4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w:t>
            </w:r>
          </w:p>
        </w:tc>
      </w:tr>
      <w:tr>
        <w:tc>
          <w:tcPr>
            <w:tcW w:type="dxa" w:w="3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Client-Side Capacity</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5/10</w:t>
            </w:r>
          </w:p>
        </w:tc>
        <w:tc>
          <w:tcPr>
            <w:tcW w:type="dxa" w:w="4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w:t>
            </w:r>
          </w:p>
        </w:tc>
      </w:tr>
    </w:tbl>
    <w:p>
      <w:pPr>
        <w:spacing w:after="160"/>
      </w:pPr>
    </w:p>
    <w:p>
      <w:pPr>
        <w:spacing w:after="160" w:line="276"/>
      </w:pPr>
      <w:r>
        <w:rPr>
          <w:b w:val="false"/>
          <w:bCs w:val="false"/>
        </w:rPr>
        <w:t xml:space="preserve">Textbook TenTerms pattern: a well-run local MSP with high-value recurring clients, a properly structured website with dedicated service and location pages, and almost zero organic visibility (one ranking keyword, roughly nine organic visits a month). The constraints are size and age: a first-year company with five staff can pay for the lower tiers comfortably but a £4,500 retainer would be out of proportion, and there is no marketing function, so delivery leans entirely on an engaged founder.</w:t>
      </w:r>
    </w:p>
    <w:p>
      <w:pPr>
        <w:pStyle w:val="Heading1"/>
        <w:spacing w:after="160" w:before="360"/>
      </w:pPr>
      <w:r>
        <w:t xml:space="preserve">3. What they do and who they sell to</w:t>
      </w:r>
    </w:p>
    <w:p>
      <w:pPr>
        <w:spacing w:after="160" w:line="276"/>
      </w:pPr>
      <w:r>
        <w:rPr>
          <w:b w:val="false"/>
          <w:bCs w:val="false"/>
        </w:rPr>
        <w:t xml:space="preserve">ANother is a classic small MSP. Core recurring services: managed IT support (remote and on-site), cyber security and compliance, Microsoft 365 and cloud, backup and disaster recovery, and strategic “vCIO” IT leadership. Around that sit project and hardware lines: procurement and installation, desktop and server migrations, structured cabling and wireless, VoIP, CCTV and AV, and photocopier supply. Thirteen dedicated service pages plus a services hub, and at least some town-level location pages (Alton, Farnborough confirmed).</w:t>
      </w:r>
    </w:p>
    <w:p>
      <w:pPr>
        <w:spacing w:after="160" w:line="276"/>
      </w:pPr>
      <w:r>
        <w:rPr>
          <w:b w:val="false"/>
          <w:bCs w:val="false"/>
        </w:rPr>
        <w:t xml:space="preserve">Customers are SMEs across Hampshire, Surrey and London; testimonials name Hawk Conservancy Trust, Upping Your Elvis, Planet Languages and PMW Dynamics, so charity, consultancy, language services and engineering. Search strategy is local/regional service coverage: “[IT service] [town]” terms across the GU-postcode belt and the wider counties. One service line (photocopiers) and one audience (charities) could support their own clusters later.</w:t>
      </w:r>
    </w:p>
    <w:p>
      <w:pPr>
        <w:spacing w:after="160" w:line="276"/>
      </w:pPr>
      <w:r>
        <w:rPr>
          <w:b w:val="false"/>
          <w:bCs w:val="false"/>
        </w:rPr>
        <w:t xml:space="preserve">The business is young on paper (August 2024) but not in substance: Aaron Nother previously ran the Farnham office of Saqqara IT, and a Financial Profiles testimonial refers to working with him for over 25 years. This looks like an experienced operator spinning out with a carried client base, which explains the healthy first-year balance sheet.</w:t>
      </w:r>
    </w:p>
    <w:p>
      <w:pPr>
        <w:pStyle w:val="Heading1"/>
        <w:spacing w:after="160" w:before="360"/>
      </w:pPr>
      <w:r>
        <w:t xml:space="preserve">4. Who’s who</w:t>
      </w:r>
    </w:p>
    <w:p>
      <w:pPr>
        <w:pStyle w:val="ListParagraph"/>
        <w:numPr>
          <w:ilvl w:val="0"/>
          <w:numId w:val="2"/>
        </w:numPr>
        <w:spacing w:after="100" w:line="276"/>
      </w:pPr>
      <w:r>
        <w:rPr>
          <w:b w:val="false"/>
          <w:bCs w:val="false"/>
        </w:rPr>
        <w:t xml:space="preserve"/>
      </w:r>
      <w:r>
        <w:rPr>
          <w:b/>
          <w:bCs/>
        </w:rPr>
        <w:t xml:space="preserve">Aaron Nother</w:t>
      </w:r>
      <w:r>
        <w:rPr>
          <w:b w:val="false"/>
          <w:bCs w:val="false"/>
        </w:rPr>
        <w:t xml:space="preserve"> (born Oct 1974) — founder, sole director, PSC with 75%+ of shares and voting rights. The decision maker, full stop. LinkedIn positions him as an SMB IT specialist with a budget-conscious angle; ex Saqqara IT (Farnham office lead), earlier Larch Computer Services and Servicetec. Active in Hampshire Business Networking, so networking/referral-led today.</w:t>
      </w:r>
    </w:p>
    <w:p>
      <w:pPr>
        <w:pStyle w:val="ListParagraph"/>
        <w:numPr>
          <w:ilvl w:val="0"/>
          <w:numId w:val="2"/>
        </w:numPr>
        <w:spacing w:after="100" w:line="276"/>
      </w:pPr>
      <w:r>
        <w:rPr>
          <w:b w:val="false"/>
          <w:bCs w:val="false"/>
        </w:rPr>
        <w:t xml:space="preserve"/>
      </w:r>
      <w:r>
        <w:rPr>
          <w:b/>
          <w:bCs/>
        </w:rPr>
        <w:t xml:space="preserve">Pepita Aiano</w:t>
      </w:r>
      <w:r>
        <w:rPr>
          <w:b w:val="false"/>
          <w:bCs w:val="false"/>
        </w:rPr>
        <w:t xml:space="preserve"> — company secretary since incorporation, same registered address. Likely handles admin/back office. No other role established; worth confirming whether she is the practical contact for anything content-related.</w:t>
      </w:r>
    </w:p>
    <w:p>
      <w:pPr>
        <w:pStyle w:val="ListParagraph"/>
        <w:numPr>
          <w:ilvl w:val="0"/>
          <w:numId w:val="2"/>
        </w:numPr>
        <w:spacing w:after="100" w:line="276"/>
      </w:pPr>
      <w:r>
        <w:rPr>
          <w:b w:val="false"/>
          <w:bCs w:val="false"/>
        </w:rPr>
        <w:t xml:space="preserve">No other directors, no parent company, no outside shareholders.</w:t>
      </w:r>
    </w:p>
    <w:p>
      <w:pPr>
        <w:spacing w:after="160" w:line="276"/>
      </w:pPr>
      <w:r>
        <w:rPr>
          <w:b w:val="false"/>
          <w:bCs w:val="false"/>
        </w:rPr>
        <w:t xml:space="preserve"/>
      </w:r>
      <w:r>
        <w:rPr>
          <w:b/>
          <w:bCs/>
        </w:rPr>
        <w:t xml:space="preserve">Intermediary risk: low.</w:t>
      </w:r>
      <w:r>
        <w:rPr>
          <w:b w:val="false"/>
          <w:bCs w:val="false"/>
        </w:rPr>
        <w:t xml:space="preserve"> Any conversation with Aaron is a conversation with the person who can sign. The corollary is that he is also the service delivery lead, the salesperson and the approver, which is a capacity question, not an authority one.</w:t>
      </w:r>
    </w:p>
    <w:p>
      <w:pPr>
        <w:pStyle w:val="Heading1"/>
        <w:spacing w:after="160" w:before="360"/>
      </w:pPr>
      <w:r>
        <w:t xml:space="preserve">5. Financial picture</w:t>
      </w:r>
    </w:p>
    <w:p>
      <w:pPr>
        <w:spacing w:after="160" w:line="276"/>
      </w:pPr>
      <w:r>
        <w:rPr>
          <w:b w:val="false"/>
          <w:bCs w:val="false"/>
        </w:rPr>
        <w:t xml:space="preserve">One filing only (first period, 20 August 2024 to 31 August 2025, filleted small-company accounts, no P&amp;L):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tblGrid>
      <w:tr>
        <w:trPr>
          <w:tblHeader/>
        </w:trPr>
        <w:tc>
          <w:tcPr>
            <w:tcW w:type="dxa" w:w="45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Item</w:t>
            </w:r>
          </w:p>
        </w:tc>
        <w:tc>
          <w:tcPr>
            <w:tcW w:type="dxa" w:w="25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31 Aug 2025</w:t>
            </w:r>
          </w:p>
        </w:tc>
      </w:tr>
      <w:tr>
        <w:tc>
          <w:tcPr>
            <w:tcW w:type="dxa" w:w="4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Debtors</w:t>
            </w:r>
          </w:p>
        </w:tc>
        <w:tc>
          <w:tcPr>
            <w:tcW w:type="dxa" w:w="2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£71,525</w:t>
            </w:r>
          </w:p>
        </w:tc>
      </w:tr>
      <w:tr>
        <w:tc>
          <w:tcPr>
            <w:tcW w:type="dxa" w:w="4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Cash at bank</w:t>
            </w:r>
          </w:p>
        </w:tc>
        <w:tc>
          <w:tcPr>
            <w:tcW w:type="dxa" w:w="2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£261,839</w:t>
            </w:r>
          </w:p>
        </w:tc>
      </w:tr>
      <w:tr>
        <w:tc>
          <w:tcPr>
            <w:tcW w:type="dxa" w:w="4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Creditors due within one year</w:t>
            </w:r>
          </w:p>
        </w:tc>
        <w:tc>
          <w:tcPr>
            <w:tcW w:type="dxa" w:w="2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£215,275</w:t>
            </w:r>
          </w:p>
        </w:tc>
      </w:tr>
      <w:tr>
        <w:tc>
          <w:tcPr>
            <w:tcW w:type="dxa" w:w="4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Net assets</w:t>
            </w:r>
          </w:p>
        </w:tc>
        <w:tc>
          <w:tcPr>
            <w:tcW w:type="dxa" w:w="2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£118,089</w:t>
            </w:r>
          </w:p>
        </w:tc>
      </w:tr>
      <w:tr>
        <w:tc>
          <w:tcPr>
            <w:tcW w:type="dxa" w:w="4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Retained earnings</w:t>
            </w:r>
          </w:p>
        </w:tc>
        <w:tc>
          <w:tcPr>
            <w:tcW w:type="dxa" w:w="2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£118,088</w:t>
            </w:r>
          </w:p>
        </w:tc>
      </w:tr>
      <w:tr>
        <w:tc>
          <w:tcPr>
            <w:tcW w:type="dxa" w:w="4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Average employees</w:t>
            </w:r>
          </w:p>
        </w:tc>
        <w:tc>
          <w:tcPr>
            <w:tcW w:type="dxa" w:w="25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5</w:t>
            </w:r>
          </w:p>
        </w:tc>
      </w:tr>
    </w:tbl>
    <w:p>
      <w:pPr>
        <w:spacing w:after="160"/>
      </w:pPr>
    </w:p>
    <w:p>
      <w:pPr>
        <w:spacing w:after="160" w:line="276"/>
      </w:pPr>
      <w:r>
        <w:rPr>
          <w:b w:val="false"/>
          <w:bCs w:val="false"/>
        </w:rPr>
        <w:t xml:space="preserve">Reading: at least £118k of post-tax profit retained in the first twelve and a half months, before whatever was drawn as dividends or director’s remuneration. Cash of £262k is strong for a company this size (some of it will be clients’ service prepayments sitting in the £215k creditors, typical for an MSP billing in advance). Estimated turnover £500k–£1m on the headcount heuristic above.</w:t>
      </w:r>
    </w:p>
    <w:p>
      <w:pPr>
        <w:spacing w:after="160" w:line="276"/>
      </w:pPr>
      <w:r>
        <w:rPr>
          <w:b w:val="false"/>
          <w:bCs w:val="false"/>
        </w:rPr>
        <w:t xml:space="preserve">Affordability: a £1,500–£2,500 a month retainer is comfortably supportable on this balance sheet. £4,500 a month would be roughly 5–10% of estimated revenue, which is a stretch for a five-person firm and shouldn’t be the opening position. Trajectory reads as growth-mode: first-year profit, cash accumulating, and money spent on a proper multi-page website.</w:t>
      </w:r>
    </w:p>
    <w:p>
      <w:pPr>
        <w:pStyle w:val="Heading1"/>
        <w:spacing w:after="160" w:before="360"/>
      </w:pPr>
      <w:r>
        <w:t xml:space="preserve">6. Search and AI visibility snapshot</w:t>
      </w:r>
    </w:p>
    <w:p>
      <w:pPr>
        <w:spacing w:after="160"/>
      </w:pPr>
      <w:r>
        <w:rPr>
          <w:i/>
          <w:iCs/>
          <w:color w:val="595959"/>
        </w:rPr>
        <w:t xml:space="preserve">Spot check from public searches and Ahrefs, 3 August 2026. Not a full audit.</w:t>
      </w:r>
    </w:p>
    <w:p>
      <w:pPr>
        <w:spacing w:after="160" w:line="276"/>
      </w:pPr>
      <w:r>
        <w:rPr>
          <w:b w:val="false"/>
          <w:bCs w:val="false"/>
        </w:rPr>
        <w:t xml:space="preserve"/>
      </w:r>
      <w:r>
        <w:rPr>
          <w:b/>
          <w:bCs/>
        </w:rPr>
        <w:t xml:space="preserve">Commercial terms that matter (GB monthly volumes, Ahrefs):</w:t>
      </w:r>
      <w:r>
        <w:rPr>
          <w:b w:val="false"/>
          <w:bCs w:val="false"/>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tblGrid>
      <w:tr>
        <w:trPr>
          <w:tblHeader/>
        </w:trPr>
        <w:tc>
          <w:tcPr>
            <w:tcW w:type="dxa" w:w="42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Term</w:t>
            </w:r>
          </w:p>
        </w:tc>
        <w:tc>
          <w:tcPr>
            <w:tcW w:type="dxa" w:w="14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Volume</w:t>
            </w:r>
          </w:p>
        </w:tc>
        <w:tc>
          <w:tcPr>
            <w:tcW w:type="dxa" w:w="14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Difficulty</w:t>
            </w:r>
          </w:p>
        </w:tc>
      </w:tr>
      <w:tr>
        <w:tc>
          <w:tcPr>
            <w:tcW w:type="dxa" w:w="4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outsourced it support</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1,300</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0</w:t>
            </w:r>
          </w:p>
        </w:tc>
      </w:tr>
      <w:tr>
        <w:tc>
          <w:tcPr>
            <w:tcW w:type="dxa" w:w="4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it support surrey</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600</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4</w:t>
            </w:r>
          </w:p>
        </w:tc>
      </w:tr>
      <w:tr>
        <w:tc>
          <w:tcPr>
            <w:tcW w:type="dxa" w:w="4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it support hampshire</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350</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0</w:t>
            </w:r>
          </w:p>
        </w:tc>
      </w:tr>
      <w:tr>
        <w:tc>
          <w:tcPr>
            <w:tcW w:type="dxa" w:w="4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it support guildford</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300</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0</w:t>
            </w:r>
          </w:p>
        </w:tc>
      </w:tr>
      <w:tr>
        <w:tc>
          <w:tcPr>
            <w:tcW w:type="dxa" w:w="4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it support farnham</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200</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n/a</w:t>
            </w:r>
          </w:p>
        </w:tc>
      </w:tr>
      <w:tr>
        <w:tc>
          <w:tcPr>
            <w:tcW w:type="dxa" w:w="4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it support basingstoke</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100</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0</w:t>
            </w:r>
          </w:p>
        </w:tc>
      </w:tr>
      <w:tr>
        <w:tc>
          <w:tcPr>
            <w:tcW w:type="dxa" w:w="4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managed it services hampshire</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100</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n/a</w:t>
            </w:r>
          </w:p>
        </w:tc>
      </w:tr>
      <w:tr>
        <w:tc>
          <w:tcPr>
            <w:tcW w:type="dxa" w:w="4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it support farnborough</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80</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0</w:t>
            </w:r>
          </w:p>
        </w:tc>
      </w:tr>
      <w:tr>
        <w:tc>
          <w:tcPr>
            <w:tcW w:type="dxa" w:w="42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it support alton</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70</w:t>
            </w:r>
          </w:p>
        </w:tc>
        <w:tc>
          <w:tcPr>
            <w:tcW w:type="dxa" w:w="14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n/a</w:t>
            </w:r>
          </w:p>
        </w:tc>
      </w:tr>
    </w:tbl>
    <w:p>
      <w:pPr>
        <w:spacing w:after="160"/>
      </w:pPr>
    </w:p>
    <w:p>
      <w:pPr>
        <w:spacing w:after="160" w:line="276"/>
      </w:pPr>
      <w:r>
        <w:rPr>
          <w:b w:val="false"/>
          <w:bCs w:val="false"/>
        </w:rPr>
        <w:t xml:space="preserve">Roughly 3,000 searches a month across this cluster alone, at negligible keyword difficulty. CPCs of £4–£16 on these terms confirm commercial value.</w:t>
      </w:r>
    </w:p>
    <w:p>
      <w:pPr>
        <w:spacing w:after="160" w:line="276"/>
      </w:pPr>
      <w:r>
        <w:rPr>
          <w:b w:val="false"/>
          <w:bCs w:val="false"/>
        </w:rPr>
        <w:t xml:space="preserve"/>
      </w:r>
      <w:r>
        <w:rPr>
          <w:b/>
          <w:bCs/>
        </w:rPr>
        <w:t xml:space="preserve">Where ANother is today (Ahrefs):</w:t>
      </w:r>
      <w:r>
        <w:rPr>
          <w:b w:val="false"/>
          <w:bCs w:val="false"/>
        </w:rPr>
        <w:t xml:space="preserve"> one ranking keyword — “it support farnborough” at position 8 — worth about nine organic visits a month. 146 live referring domains. The site has the right architecture (13 service pages, town pages) but the pages are not ranking.</w:t>
      </w:r>
    </w:p>
    <w:p>
      <w:pPr>
        <w:spacing w:after="160" w:line="276"/>
      </w:pPr>
      <w:r>
        <w:rPr>
          <w:b w:val="false"/>
          <w:bCs w:val="false"/>
        </w:rPr>
        <w:t xml:space="preserve"/>
      </w:r>
      <w:r>
        <w:rPr>
          <w:b/>
          <w:bCs/>
        </w:rPr>
        <w:t xml:space="preserve">Competitor set (who actually appears for the local terms):</w:t>
      </w:r>
      <w:r>
        <w:rPr>
          <w:b w:val="false"/>
          <w:bCs w:val="false"/>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Competitor</w:t>
            </w:r>
          </w:p>
        </w:tc>
        <w:tc>
          <w:tcPr>
            <w:tcW w:type="dxa" w:w="6026"/>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Signals</w:t>
            </w:r>
          </w:p>
        </w:tc>
      </w:tr>
      <w:tr>
        <w:tc>
          <w:tcPr>
            <w:tcW w:type="dxa" w:w="30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farnhamitsupport.uk</w:t>
            </w:r>
          </w:p>
        </w:tc>
        <w:tc>
          <w:tcPr>
            <w:tcW w:type="dxa" w:w="60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 organic for Farnham, local pack, “10+ years in business”</w:t>
            </w:r>
          </w:p>
        </w:tc>
      </w:tr>
      <w:tr>
        <w:tc>
          <w:tcPr>
            <w:tcW w:type="dxa" w:w="30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Zenzero (zenzero.co.uk)</w:t>
            </w:r>
          </w:p>
        </w:tc>
        <w:tc>
          <w:tcPr>
            <w:tcW w:type="dxa" w:w="60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National MSP with a Farnham location page, #2</w:t>
            </w:r>
          </w:p>
        </w:tc>
      </w:tr>
      <w:tr>
        <w:tc>
          <w:tcPr>
            <w:tcW w:type="dxa" w:w="30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Frimley Computing</w:t>
            </w:r>
          </w:p>
        </w:tc>
        <w:tc>
          <w:tcPr>
            <w:tcW w:type="dxa" w:w="60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#3, “30 years of experience” messaging</w:t>
            </w:r>
          </w:p>
        </w:tc>
      </w:tr>
      <w:tr>
        <w:tc>
          <w:tcPr>
            <w:tcW w:type="dxa" w:w="30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Century IT (century-it.co.uk)</w:t>
            </w:r>
          </w:p>
        </w:tc>
        <w:tc>
          <w:tcPr>
            <w:tcW w:type="dxa" w:w="60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Location pages for both Farnham and Alton, ranking for both</w:t>
            </w:r>
          </w:p>
        </w:tc>
      </w:tr>
      <w:tr>
        <w:tc>
          <w:tcPr>
            <w:tcW w:type="dxa" w:w="30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Coreitech (coreitech.co.uk)</w:t>
            </w:r>
          </w:p>
        </w:tc>
        <w:tc>
          <w:tcPr>
            <w:tcW w:type="dxa" w:w="60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#8 with merchandised title: “4.9★ Managed IT Services… from £25/user/month”</w:t>
            </w:r>
          </w:p>
        </w:tc>
      </w:tr>
      <w:tr>
        <w:tc>
          <w:tcPr>
            <w:tcW w:type="dxa" w:w="30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Under One Cloud</w:t>
            </w:r>
          </w:p>
        </w:tc>
        <w:tc>
          <w:tcPr>
            <w:tcW w:type="dxa" w:w="60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Buying Google Ads on the Farnham term</w:t>
            </w:r>
          </w:p>
        </w:tc>
      </w:tr>
    </w:tbl>
    <w:p>
      <w:pPr>
        <w:spacing w:after="160"/>
      </w:pPr>
    </w:p>
    <w:p>
      <w:pPr>
        <w:spacing w:after="160" w:line="276"/>
      </w:pPr>
      <w:r>
        <w:rPr>
          <w:b w:val="false"/>
          <w:bCs w:val="false"/>
        </w:rPr>
        <w:t xml:space="preserve"/>
      </w:r>
      <w:r>
        <w:rPr>
          <w:b/>
          <w:bCs/>
        </w:rPr>
        <w:t xml:space="preserve">Brand and local presence:</w:t>
      </w:r>
      <w:r>
        <w:rPr>
          <w:b w:val="false"/>
          <w:bCs w:val="false"/>
        </w:rPr>
        <w:t xml:space="preserve"> they control their brand SERP (site #1, knowledge panel, LinkedIn, Facebook). Google rating 5.0 from 6 reviews. But the Google Business Profile is </w:t>
      </w:r>
      <w:r>
        <w:rPr>
          <w:b/>
          <w:bCs/>
        </w:rPr>
        <w:t xml:space="preserve">unclaimed</w:t>
      </w:r>
      <w:r>
        <w:rPr>
          <w:b w:val="false"/>
          <w:bCs w:val="false"/>
        </w:rPr>
        <w:t xml:space="preserve"> (“unclaimed listing” on the knowledge panel) — a five-minute fix that currently caps their local pack eligibility, and exactly the kind of ingredient AI answers draw on.</w:t>
      </w:r>
    </w:p>
    <w:p>
      <w:pPr>
        <w:spacing w:after="160" w:line="276"/>
      </w:pPr>
      <w:r>
        <w:rPr>
          <w:b w:val="false"/>
          <w:bCs w:val="false"/>
        </w:rPr>
        <w:t xml:space="preserve"/>
      </w:r>
      <w:r>
        <w:rPr>
          <w:b/>
          <w:bCs/>
        </w:rPr>
        <w:t xml:space="preserve">AI answer spot check:</w:t>
      </w:r>
      <w:r>
        <w:rPr>
          <w:b w:val="false"/>
          <w:bCs w:val="false"/>
        </w:rPr>
        <w:t xml:space="preserve"> no AI Overview appeared on the Farnham SERP itself; the “People also ask” boxes on their own brand SERP trigger AI Overviews for generic MSP questions (“Who are some managed service providers?”) that they have no content to be cited in. With 6 reviews, no pricing transparency and near-zero third-party mentions, they are weak on the standard AI-visibility ingredients. Worth running two or three live prompts (“best IT support company in Farnham”) before the call.</w:t>
      </w:r>
    </w:p>
    <w:p>
      <w:pPr>
        <w:spacing w:after="160" w:line="276"/>
      </w:pPr>
      <w:r>
        <w:rPr>
          <w:b w:val="false"/>
          <w:bCs w:val="false"/>
        </w:rPr>
        <w:t xml:space="preserve"/>
      </w:r>
      <w:r>
        <w:rPr>
          <w:b/>
          <w:bCs/>
        </w:rPr>
        <w:t xml:space="preserve">What a buyer actually sees:</w:t>
      </w:r>
      <w:r>
        <w:rPr>
          <w:b w:val="false"/>
          <w:bCs w:val="false"/>
        </w:rPr>
        <w:t xml:space="preserve"> a Farnham business owner searching “it support farnham” sees farnhamitsupport.uk at number one, Zenzero, Frimley Computing and Century IT below it, a local pack with two 5-star rivals, and Coreitech advertising “from £25/user/month” in its title. There is no trace of ANother — in the town where they publish a local phone number.</w:t>
      </w:r>
    </w:p>
    <w:p>
      <w:pPr>
        <w:pStyle w:val="Heading1"/>
        <w:spacing w:after="160" w:before="360"/>
      </w:pPr>
      <w:r>
        <w:t xml:space="preserve">7. What a new customer is worth to them</w:t>
      </w:r>
    </w:p>
    <w:p>
      <w:pPr>
        <w:spacing w:after="160" w:line="276"/>
      </w:pPr>
      <w:r>
        <w:rPr>
          <w:b w:val="false"/>
          <w:bCs w:val="false"/>
        </w:rPr>
        <w:t xml:space="preserve">One new managed IT client for a firm this size is typically worth </w:t>
      </w:r>
      <w:r>
        <w:rPr>
          <w:b/>
          <w:bCs/>
        </w:rPr>
        <w:t xml:space="preserve">£8k–£20k a year</w:t>
      </w:r>
      <w:r>
        <w:rPr>
          <w:b w:val="false"/>
          <w:bCs w:val="false"/>
        </w:rPr>
        <w:t xml:space="preserve"> (10–25 users at roughly £40–£80 per user per month, plus projects and hardware), and MSP clients commonly stay three years or more. Assumption basis: sector norms; Coreitech’s advertised £25/user/month marks the local price floor, and ANother’s positioning (vCIO, compliance) suggests mid-market rather than floor pricing. No published pricing on their site to anchor against — a discovery question.</w:t>
      </w:r>
    </w:p>
    <w:p>
      <w:pPr>
        <w:spacing w:after="160" w:line="276"/>
      </w:pPr>
      <w:r>
        <w:rPr>
          <w:b w:val="false"/>
          <w:bCs w:val="false"/>
        </w:rPr>
        <w:t xml:space="preserve">Conversion chain, using first-12-months value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300"/>
        <w:gridCol w:w="1600"/>
        <w:gridCol w:w="2526"/>
      </w:tblGrid>
      <w:tr>
        <w:trPr>
          <w:tblHeader/>
        </w:trPr>
        <w:tc>
          <w:tcPr>
            <w:tcW w:type="dxa" w:w="17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Scenario</w:t>
            </w:r>
          </w:p>
        </w:tc>
        <w:tc>
          <w:tcPr>
            <w:tcW w:type="dxa" w:w="19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Extra enquiries/month</w:t>
            </w:r>
          </w:p>
        </w:tc>
        <w:tc>
          <w:tcPr>
            <w:tcW w:type="dxa" w:w="13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Close rate</w:t>
            </w:r>
          </w:p>
        </w:tc>
        <w:tc>
          <w:tcPr>
            <w:tcW w:type="dxa" w:w="1600"/>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New clients/year</w:t>
            </w:r>
          </w:p>
        </w:tc>
        <w:tc>
          <w:tcPr>
            <w:tcW w:type="dxa" w:w="2526"/>
            <w:tcBorders>
              <w:top w:val="single" w:color="C9CFDA" w:sz="4"/>
              <w:left w:val="single" w:color="C9CFDA" w:sz="4"/>
              <w:bottom w:val="single" w:color="C9CFDA" w:sz="4"/>
              <w:right w:val="single" w:color="C9CFDA" w:sz="4"/>
            </w:tcBorders>
            <w:shd w:fill="1F3251" w:val="clear"/>
            <w:tcMar>
              <w:top w:type="dxa" w:w="60"/>
              <w:left w:type="dxa" w:w="100"/>
              <w:bottom w:type="dxa" w:w="60"/>
              <w:right w:type="dxa" w:w="100"/>
            </w:tcMar>
          </w:tcPr>
          <w:p>
            <w:pPr>
              <w:spacing w:after="0"/>
            </w:pPr>
            <w:r>
              <w:rPr>
                <w:b/>
                <w:bCs/>
                <w:color w:val="FFFFFF"/>
                <w:sz w:val="20"/>
                <w:szCs w:val="20"/>
              </w:rPr>
              <w:t xml:space="preserve">Revenue impact (first 12 months per client)</w:t>
            </w:r>
          </w:p>
        </w:tc>
      </w:tr>
      <w:tr>
        <w:tc>
          <w:tcPr>
            <w:tcW w:type="dxa" w:w="17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Conservative</w:t>
            </w:r>
          </w:p>
        </w:tc>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 in 5</w:t>
            </w:r>
          </w:p>
        </w:tc>
        <w:tc>
          <w:tcPr>
            <w:tcW w:type="dxa" w:w="16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~2</w:t>
            </w:r>
          </w:p>
        </w:tc>
        <w:tc>
          <w:tcPr>
            <w:tcW w:type="dxa" w:w="2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£16k–£40k</w:t>
            </w:r>
          </w:p>
        </w:tc>
      </w:tr>
      <w:tr>
        <w:tc>
          <w:tcPr>
            <w:tcW w:type="dxa" w:w="17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Realistic</w:t>
            </w:r>
          </w:p>
        </w:tc>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2</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 in 4</w:t>
            </w:r>
          </w:p>
        </w:tc>
        <w:tc>
          <w:tcPr>
            <w:tcW w:type="dxa" w:w="16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~6</w:t>
            </w:r>
          </w:p>
        </w:tc>
        <w:tc>
          <w:tcPr>
            <w:tcW w:type="dxa" w:w="2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£48k–£120k</w:t>
            </w:r>
          </w:p>
        </w:tc>
      </w:tr>
      <w:tr>
        <w:tc>
          <w:tcPr>
            <w:tcW w:type="dxa" w:w="17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Stretch</w:t>
            </w:r>
          </w:p>
        </w:tc>
        <w:tc>
          <w:tcPr>
            <w:tcW w:type="dxa" w:w="19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3</w:t>
            </w:r>
          </w:p>
        </w:tc>
        <w:tc>
          <w:tcPr>
            <w:tcW w:type="dxa" w:w="13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 in 3</w:t>
            </w:r>
          </w:p>
        </w:tc>
        <w:tc>
          <w:tcPr>
            <w:tcW w:type="dxa" w:w="1600"/>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~12</w:t>
            </w:r>
          </w:p>
        </w:tc>
        <w:tc>
          <w:tcPr>
            <w:tcW w:type="dxa" w:w="2526"/>
            <w:tcBorders>
              <w:top w:val="single" w:color="C9CFDA" w:sz="4"/>
              <w:left w:val="single" w:color="C9CFDA" w:sz="4"/>
              <w:bottom w:val="single" w:color="C9CFDA" w:sz="4"/>
              <w:right w:val="single" w:color="C9CFDA" w:sz="4"/>
            </w:tcBorders>
            <w:tcMar>
              <w:top w:type="dxa" w:w="60"/>
              <w:left w:type="dxa" w:w="100"/>
              <w:bottom w:type="dxa" w:w="60"/>
              <w:right w:type="dxa" w:w="100"/>
            </w:tcMar>
          </w:tcPr>
          <w:p>
            <w:pPr>
              <w:spacing w:after="0"/>
            </w:pPr>
            <w:r>
              <w:rPr>
                <w:b w:val="false"/>
                <w:bCs w:val="false"/>
                <w:sz w:val="20"/>
                <w:szCs w:val="20"/>
              </w:rPr>
              <w:t xml:space="preserve">£96k–£240k</w:t>
            </w:r>
          </w:p>
        </w:tc>
      </w:tr>
    </w:tbl>
    <w:p>
      <w:pPr>
        <w:spacing w:after="160"/>
      </w:pPr>
    </w:p>
    <w:p>
      <w:pPr>
        <w:spacing w:after="160" w:line="276"/>
      </w:pPr>
      <w:r>
        <w:rPr>
          <w:b w:val="false"/>
          <w:bCs w:val="false"/>
        </w:rPr>
        <w:t xml:space="preserve">(Lifetime value is 3x+ these figures given typical MSP retention; kept out of the headline deliberately.)</w:t>
      </w:r>
    </w:p>
    <w:p>
      <w:pPr>
        <w:spacing w:after="160" w:line="276"/>
      </w:pPr>
      <w:r>
        <w:rPr>
          <w:b w:val="false"/>
          <w:bCs w:val="false"/>
        </w:rPr>
        <w:t xml:space="preserve">Against a £1,500/month retainer (£18k/year): the conservative case roughly breaks even in year one and pays 3x+ over client lifetime; the realistic case clears 3x in year one. Against £4,500/month the maths only works at stretch. Conclusion: the value case supports the </w:t>
      </w:r>
      <w:r>
        <w:rPr>
          <w:b/>
          <w:bCs/>
        </w:rPr>
        <w:t xml:space="preserve">lower retainer tier or a project entry</w:t>
      </w:r>
      <w:r>
        <w:rPr>
          <w:b w:val="false"/>
          <w:bCs w:val="false"/>
        </w:rPr>
        <w:t xml:space="preserve">, not the top tier.</w:t>
      </w:r>
    </w:p>
    <w:p>
      <w:pPr>
        <w:pStyle w:val="Heading1"/>
        <w:spacing w:after="160" w:before="360"/>
      </w:pPr>
      <w:r>
        <w:t xml:space="preserve">8. Size of the prize</w:t>
      </w:r>
    </w:p>
    <w:p>
      <w:pPr>
        <w:spacing w:after="160" w:line="276"/>
      </w:pPr>
      <w:r>
        <w:rPr>
          <w:b w:val="false"/>
          <w:bCs w:val="false"/>
        </w:rPr>
        <w:t xml:space="preserve">The immediately addressable cluster (the table in §6, excluding the national “outsourced it support” term) is roughly 1,800 local searches a month with difficulty scores of 0–4 and competitors whose main moat is longevity messaging and review counts, not content quality. ANother already has the page architecture; the pages need to actually compete (content depth, titles, reviews, claimed GBP, local links).</w:t>
      </w:r>
    </w:p>
    <w:p>
      <w:pPr>
        <w:pStyle w:val="ListParagraph"/>
        <w:numPr>
          <w:ilvl w:val="0"/>
          <w:numId w:val="2"/>
        </w:numPr>
        <w:spacing w:after="100" w:line="276"/>
      </w:pPr>
      <w:r>
        <w:rPr>
          <w:b w:val="false"/>
          <w:bCs w:val="false"/>
        </w:rPr>
        <w:t xml:space="preserve"/>
      </w:r>
      <w:r>
        <w:rPr>
          <w:b/>
          <w:bCs/>
        </w:rPr>
        <w:t xml:space="preserve">Conservative:</w:t>
      </w:r>
      <w:r>
        <w:rPr>
          <w:b w:val="false"/>
          <w:bCs w:val="false"/>
        </w:rPr>
        <w:t xml:space="preserve"> top-3 positions on Alton, Farnborough and Farnham terms only (their two home towns plus the confirmed ranking) → 1–2 qualified enquiries a month → 2–4 new clients a year → </w:t>
      </w:r>
      <w:r>
        <w:rPr>
          <w:b/>
          <w:bCs/>
        </w:rPr>
        <w:t xml:space="preserve">£16k–£80k of first-year recurring revenue</w:t>
      </w:r>
      <w:r>
        <w:rPr>
          <w:b w:val="false"/>
          <w:bCs w:val="false"/>
        </w:rPr>
        <w:t xml:space="preserve">.</w:t>
      </w:r>
    </w:p>
    <w:p>
      <w:pPr>
        <w:pStyle w:val="ListParagraph"/>
        <w:numPr>
          <w:ilvl w:val="0"/>
          <w:numId w:val="2"/>
        </w:numPr>
        <w:spacing w:after="100" w:line="276"/>
      </w:pPr>
      <w:r>
        <w:rPr>
          <w:b w:val="false"/>
          <w:bCs w:val="false"/>
        </w:rPr>
        <w:t xml:space="preserve"/>
      </w:r>
      <w:r>
        <w:rPr>
          <w:b/>
          <w:bCs/>
        </w:rPr>
        <w:t xml:space="preserve">Realistic:</w:t>
      </w:r>
      <w:r>
        <w:rPr>
          <w:b w:val="false"/>
          <w:bCs w:val="false"/>
        </w:rPr>
        <w:t xml:space="preserve"> add Hampshire, Basingstoke and “managed it services hampshire” top-5 → 2–3 enquiries a month → </w:t>
      </w:r>
      <w:r>
        <w:rPr>
          <w:b/>
          <w:bCs/>
        </w:rPr>
        <w:t xml:space="preserve">£48k–£120k</w:t>
      </w:r>
      <w:r>
        <w:rPr>
          <w:b w:val="false"/>
          <w:bCs w:val="false"/>
        </w:rPr>
        <w:t xml:space="preserve">.</w:t>
      </w:r>
    </w:p>
    <w:p>
      <w:pPr>
        <w:pStyle w:val="ListParagraph"/>
        <w:numPr>
          <w:ilvl w:val="0"/>
          <w:numId w:val="2"/>
        </w:numPr>
        <w:spacing w:after="100" w:line="276"/>
      </w:pPr>
      <w:r>
        <w:rPr>
          <w:b w:val="false"/>
          <w:bCs w:val="false"/>
        </w:rPr>
        <w:t xml:space="preserve"/>
      </w:r>
      <w:r>
        <w:rPr>
          <w:b/>
          <w:bCs/>
        </w:rPr>
        <w:t xml:space="preserve">Stretch:</w:t>
      </w:r>
      <w:r>
        <w:rPr>
          <w:b w:val="false"/>
          <w:bCs w:val="false"/>
        </w:rPr>
        <w:t xml:space="preserve"> compete on Surrey/Guildford and take a share of “outsourced it support” (1,300/month, difficulty 0) with a strong hub page → </w:t>
      </w:r>
      <w:r>
        <w:rPr>
          <w:b/>
          <w:bCs/>
        </w:rPr>
        <w:t xml:space="preserve">£100k+</w:t>
      </w:r>
      <w:r>
        <w:rPr>
          <w:b w:val="false"/>
          <w:bCs w:val="false"/>
        </w:rPr>
        <w:t xml:space="preserve"> and a step-change in inbound.</w:t>
      </w:r>
    </w:p>
    <w:p>
      <w:pPr>
        <w:spacing w:after="160" w:line="276"/>
      </w:pPr>
      <w:r>
        <w:rPr>
          <w:b w:val="false"/>
          <w:bCs w:val="false"/>
        </w:rPr>
        <w:t xml:space="preserve">Each new client also compounds: MSP contracts renew, so year-two prize is prior wins retained plus new wins.</w:t>
      </w:r>
    </w:p>
    <w:p>
      <w:pPr>
        <w:pStyle w:val="Heading1"/>
        <w:spacing w:after="160" w:before="360"/>
      </w:pPr>
      <w:r>
        <w:t xml:space="preserve">9. TenTerms fit and suggested entry point</w:t>
      </w:r>
    </w:p>
    <w:p>
      <w:pPr>
        <w:spacing w:after="160" w:line="276"/>
      </w:pPr>
      <w:r>
        <w:rPr>
          <w:b w:val="false"/>
          <w:bCs w:val="false"/>
        </w:rPr>
        <w:t xml:space="preserve">Strong fit on pattern (managed IT is a named good-fit sector), weak only on scale. Recommended entry:</w:t>
      </w:r>
    </w:p>
    <w:p>
      <w:pPr>
        <w:pStyle w:val="ListParagraph"/>
        <w:numPr>
          <w:ilvl w:val="0"/>
          <w:numId w:val="3"/>
        </w:numPr>
        <w:spacing w:after="100" w:line="276"/>
      </w:pPr>
      <w:r>
        <w:rPr>
          <w:b w:val="false"/>
          <w:bCs w:val="false"/>
        </w:rPr>
        <w:t xml:space="preserve"/>
      </w:r>
      <w:r>
        <w:rPr>
          <w:b/>
          <w:bCs/>
        </w:rPr>
        <w:t xml:space="preserve">Lead with the paid visibility review</w:t>
      </w:r>
      <w:r>
        <w:rPr>
          <w:b w:val="false"/>
          <w:bCs w:val="false"/>
        </w:rPr>
        <w:t xml:space="preserve">, using the Farnham SERP evidence above as the teaser. It prices the relationship correctly for a first-year company and produces the roadmap.</w:t>
      </w:r>
    </w:p>
    <w:p>
      <w:pPr>
        <w:pStyle w:val="ListParagraph"/>
        <w:numPr>
          <w:ilvl w:val="0"/>
          <w:numId w:val="3"/>
        </w:numPr>
        <w:spacing w:after="100" w:line="276"/>
      </w:pPr>
      <w:r>
        <w:rPr>
          <w:b w:val="false"/>
          <w:bCs w:val="false"/>
        </w:rPr>
        <w:t xml:space="preserve"/>
      </w:r>
      <w:r>
        <w:rPr>
          <w:b/>
          <w:bCs/>
        </w:rPr>
        <w:t xml:space="preserve">Follow with the £1,500 tier retainer</w:t>
      </w:r>
      <w:r>
        <w:rPr>
          <w:b w:val="false"/>
          <w:bCs w:val="false"/>
        </w:rPr>
        <w:t xml:space="preserve"> focused on: claiming and building out the Google Business Profile and reviews engine; rewriting the existing location and service pages to actually compete (merchandised titles, real local substance); a location-page build-out across the GU belt (Guildford, Basingstoke, Aldershot, Winchester); and an “outsourced IT support” hub as the national swing.</w:t>
      </w:r>
    </w:p>
    <w:p>
      <w:pPr>
        <w:pStyle w:val="ListParagraph"/>
        <w:numPr>
          <w:ilvl w:val="0"/>
          <w:numId w:val="3"/>
        </w:numPr>
        <w:spacing w:after="100" w:line="276"/>
      </w:pPr>
      <w:r>
        <w:rPr>
          <w:b w:val="false"/>
          <w:bCs w:val="false"/>
        </w:rPr>
        <w:t xml:space="preserve">Quick win to offer in the first conversation as a good-faith gift: </w:t>
      </w:r>
      <w:r>
        <w:rPr>
          <w:b/>
          <w:bCs/>
        </w:rPr>
        <w:t xml:space="preserve">the GBP is unclaimed</w:t>
      </w:r>
      <w:r>
        <w:rPr>
          <w:b w:val="false"/>
          <w:bCs w:val="false"/>
        </w:rPr>
        <w:t xml:space="preserve"> — claiming it costs nothing and they should do it this week regardless of who they hire.</w:t>
      </w:r>
    </w:p>
    <w:p>
      <w:pPr>
        <w:pStyle w:val="Heading1"/>
        <w:spacing w:after="160" w:before="360"/>
      </w:pPr>
      <w:r>
        <w:t xml:space="preserve">10. Discovery questions</w:t>
      </w:r>
    </w:p>
    <w:p>
      <w:pPr>
        <w:pStyle w:val="ListParagraph"/>
        <w:numPr>
          <w:ilvl w:val="0"/>
          <w:numId w:val="3"/>
        </w:numPr>
        <w:spacing w:after="100" w:line="276"/>
      </w:pPr>
      <w:r>
        <w:rPr>
          <w:b w:val="false"/>
          <w:bCs w:val="false"/>
        </w:rPr>
        <w:t xml:space="preserve">What is a typical client worth to you per year, and how long do clients stay? (Replaces the £8k–£20k assumption.)</w:t>
      </w:r>
    </w:p>
    <w:p>
      <w:pPr>
        <w:pStyle w:val="ListParagraph"/>
        <w:numPr>
          <w:ilvl w:val="0"/>
          <w:numId w:val="3"/>
        </w:numPr>
        <w:spacing w:after="100" w:line="276"/>
      </w:pPr>
      <w:r>
        <w:rPr>
          <w:b w:val="false"/>
          <w:bCs w:val="false"/>
        </w:rPr>
        <w:t xml:space="preserve">Where do new clients come from today — how much is referral and networking, and what happened the last time a stranger found you online? (Tests whether the invisibility is felt as a cost.)</w:t>
      </w:r>
    </w:p>
    <w:p>
      <w:pPr>
        <w:pStyle w:val="ListParagraph"/>
        <w:numPr>
          <w:ilvl w:val="0"/>
          <w:numId w:val="3"/>
        </w:numPr>
        <w:spacing w:after="100" w:line="276"/>
      </w:pPr>
      <w:r>
        <w:rPr>
          <w:b w:val="false"/>
          <w:bCs w:val="false"/>
        </w:rPr>
        <w:t xml:space="preserve">How many new clients could you take on in the next 12 months before hiring? (Sizes the realistic scenario and the delivery ceiling.)</w:t>
      </w:r>
    </w:p>
    <w:p>
      <w:pPr>
        <w:pStyle w:val="ListParagraph"/>
        <w:numPr>
          <w:ilvl w:val="0"/>
          <w:numId w:val="3"/>
        </w:numPr>
        <w:spacing w:after="100" w:line="276"/>
      </w:pPr>
      <w:r>
        <w:rPr>
          <w:b w:val="false"/>
          <w:bCs w:val="false"/>
        </w:rPr>
        <w:t xml:space="preserve">You rank for almost nothing despite having the right pages — did an agency build the site, and is anyone responsible for it now? (Surfaces incumbent/DIY history.)</w:t>
      </w:r>
    </w:p>
    <w:p>
      <w:pPr>
        <w:pStyle w:val="ListParagraph"/>
        <w:numPr>
          <w:ilvl w:val="0"/>
          <w:numId w:val="3"/>
        </w:numPr>
        <w:spacing w:after="100" w:line="276"/>
      </w:pPr>
      <w:r>
        <w:rPr>
          <w:b w:val="false"/>
          <w:bCs w:val="false"/>
        </w:rPr>
        <w:t xml:space="preserve">Who besides you would look at the numbers before you committed to a monthly retainer — does Pepita weigh in on spend? (Decision authority check.)</w:t>
      </w:r>
    </w:p>
    <w:p>
      <w:pPr>
        <w:pStyle w:val="ListParagraph"/>
        <w:numPr>
          <w:ilvl w:val="0"/>
          <w:numId w:val="3"/>
        </w:numPr>
        <w:spacing w:after="100" w:line="276"/>
      </w:pPr>
      <w:r>
        <w:rPr>
          <w:b w:val="false"/>
          <w:bCs w:val="false"/>
        </w:rPr>
        <w:t xml:space="preserve">If we needed a couple of hours a month from your side to review pages and gather client reviews, who would that be? (Capacity check.)</w:t>
      </w:r>
    </w:p>
    <w:p>
      <w:pPr>
        <w:pStyle w:val="ListParagraph"/>
        <w:numPr>
          <w:ilvl w:val="0"/>
          <w:numId w:val="3"/>
        </w:numPr>
        <w:spacing w:after="100" w:line="276"/>
      </w:pPr>
      <w:r>
        <w:rPr>
          <w:b w:val="false"/>
          <w:bCs w:val="false"/>
        </w:rPr>
        <w:t xml:space="preserve">Did you know your Google Business Profile is unclaimed? (Instant credibility, zero-cost win.)</w:t>
      </w:r>
    </w:p>
    <w:p>
      <w:pPr>
        <w:pStyle w:val="ListParagraph"/>
        <w:numPr>
          <w:ilvl w:val="0"/>
          <w:numId w:val="3"/>
        </w:numPr>
        <w:spacing w:after="100" w:line="276"/>
      </w:pPr>
      <w:r>
        <w:rPr>
          <w:b w:val="false"/>
          <w:bCs w:val="false"/>
        </w:rPr>
        <w:t xml:space="preserve">Are the project lines (CCTV, photocopiers, cabling) businesses you want more of, or add-ons for support clients? (Scopes the keyword universe before anyone builds it.)</w:t>
      </w:r>
    </w:p>
    <w:p>
      <w:pPr>
        <w:pStyle w:val="Heading1"/>
        <w:spacing w:after="160" w:before="360"/>
      </w:pPr>
      <w:r>
        <w:t xml:space="preserve">11. Risks and open items</w:t>
      </w:r>
    </w:p>
    <w:p>
      <w:pPr>
        <w:pStyle w:val="ListParagraph"/>
        <w:numPr>
          <w:ilvl w:val="0"/>
          <w:numId w:val="2"/>
        </w:numPr>
        <w:spacing w:after="100" w:line="276"/>
      </w:pPr>
      <w:r>
        <w:rPr>
          <w:b w:val="false"/>
          <w:bCs w:val="false"/>
        </w:rPr>
        <w:t xml:space="preserve"/>
      </w:r>
      <w:r>
        <w:rPr>
          <w:b/>
          <w:bCs/>
        </w:rPr>
        <w:t xml:space="preserve">Turnover is estimated, not known.</w:t>
      </w:r>
      <w:r>
        <w:rPr>
          <w:b w:val="false"/>
          <w:bCs w:val="false"/>
        </w:rPr>
        <w:t xml:space="preserve"> First filleted accounts only; the £500k–£1m band rests on the headcount heuristic. Confirm affordability in conversation.</w:t>
      </w:r>
    </w:p>
    <w:p>
      <w:pPr>
        <w:pStyle w:val="ListParagraph"/>
        <w:numPr>
          <w:ilvl w:val="0"/>
          <w:numId w:val="2"/>
        </w:numPr>
        <w:spacing w:after="100" w:line="276"/>
      </w:pPr>
      <w:r>
        <w:rPr>
          <w:b w:val="false"/>
          <w:bCs w:val="false"/>
        </w:rPr>
        <w:t xml:space="preserve"/>
      </w:r>
      <w:r>
        <w:rPr>
          <w:b/>
          <w:bCs/>
        </w:rPr>
        <w:t xml:space="preserve">No marketing function.</w:t>
      </w:r>
      <w:r>
        <w:rPr>
          <w:b w:val="false"/>
          <w:bCs w:val="false"/>
        </w:rPr>
        <w:t xml:space="preserve"> Delivery depends on the founder’s diary; a stalled-approval risk. Mitigate by scoping light-touch review cycles.</w:t>
      </w:r>
    </w:p>
    <w:p>
      <w:pPr>
        <w:pStyle w:val="ListParagraph"/>
        <w:numPr>
          <w:ilvl w:val="0"/>
          <w:numId w:val="2"/>
        </w:numPr>
        <w:spacing w:after="100" w:line="276"/>
      </w:pPr>
      <w:r>
        <w:rPr>
          <w:b w:val="false"/>
          <w:bCs w:val="false"/>
        </w:rPr>
        <w:t xml:space="preserve"/>
      </w:r>
      <w:r>
        <w:rPr>
          <w:b/>
          <w:bCs/>
        </w:rPr>
        <w:t xml:space="preserve">Referral-led culture.</w:t>
      </w:r>
      <w:r>
        <w:rPr>
          <w:b w:val="false"/>
          <w:bCs w:val="false"/>
        </w:rPr>
        <w:t xml:space="preserve"> 25 years of relationships may mean inbound search has never felt necessary; the pitch must price the invisible loss, not sell SEO in the abstract.</w:t>
      </w:r>
    </w:p>
    <w:p>
      <w:pPr>
        <w:pStyle w:val="ListParagraph"/>
        <w:numPr>
          <w:ilvl w:val="0"/>
          <w:numId w:val="2"/>
        </w:numPr>
        <w:spacing w:after="100" w:line="276"/>
      </w:pPr>
      <w:r>
        <w:rPr>
          <w:b w:val="false"/>
          <w:bCs w:val="false"/>
        </w:rPr>
        <w:t xml:space="preserve"/>
      </w:r>
      <w:r>
        <w:rPr>
          <w:b/>
          <w:bCs/>
        </w:rPr>
        <w:t xml:space="preserve">Young entity.</w:t>
      </w:r>
      <w:r>
        <w:rPr>
          <w:b w:val="false"/>
          <w:bCs w:val="false"/>
        </w:rPr>
        <w:t xml:space="preserve"> One year of filings; no trend data. Nothing negative on file (accounts and confirmation statement both on time).</w:t>
      </w:r>
    </w:p>
    <w:p>
      <w:pPr>
        <w:pStyle w:val="ListParagraph"/>
        <w:numPr>
          <w:ilvl w:val="0"/>
          <w:numId w:val="2"/>
        </w:numPr>
        <w:spacing w:after="100" w:line="276"/>
      </w:pPr>
      <w:r>
        <w:rPr>
          <w:b w:val="false"/>
          <w:bCs w:val="false"/>
        </w:rPr>
        <w:t xml:space="preserve"/>
      </w:r>
      <w:r>
        <w:rPr>
          <w:b/>
          <w:bCs/>
        </w:rPr>
        <w:t xml:space="preserve">Website footer omits the company number</w:t>
      </w:r>
      <w:r>
        <w:rPr>
          <w:b w:val="false"/>
          <w:bCs w:val="false"/>
        </w:rPr>
        <w:t xml:space="preserve"> (checked the homepage) — minor, but a trust-signal and distance-selling compliance point that also weakens entity signals for AI answers.</w:t>
      </w:r>
    </w:p>
    <w:p>
      <w:pPr>
        <w:pStyle w:val="ListParagraph"/>
        <w:numPr>
          <w:ilvl w:val="0"/>
          <w:numId w:val="2"/>
        </w:numPr>
        <w:spacing w:after="100" w:line="276"/>
      </w:pPr>
      <w:r>
        <w:rPr>
          <w:b w:val="false"/>
          <w:bCs w:val="false"/>
        </w:rPr>
        <w:t xml:space="preserve"/>
      </w:r>
      <w:r>
        <w:rPr>
          <w:b/>
          <w:bCs/>
        </w:rPr>
        <w:t xml:space="preserve">Saqqara spin-out dynamics unknown.</w:t>
      </w:r>
      <w:r>
        <w:rPr>
          <w:b w:val="false"/>
          <w:bCs w:val="false"/>
        </w:rPr>
        <w:t xml:space="preserve"> Any restrictive covenants or sensitivities about competing in Farnham are worth understanding before writing town-page copy.</w:t>
      </w:r>
    </w:p>
    <w:p>
      <w:pPr>
        <w:pStyle w:val="ListParagraph"/>
        <w:numPr>
          <w:ilvl w:val="0"/>
          <w:numId w:val="2"/>
        </w:numPr>
        <w:spacing w:after="100" w:line="276"/>
      </w:pPr>
      <w:r>
        <w:rPr>
          <w:b w:val="false"/>
          <w:bCs w:val="false"/>
        </w:rPr>
        <w:t xml:space="preserve">Source of this lead not recorded — if it is not inbound, reachability drops a notch until Aaron is in a conversation.</w:t>
      </w:r>
    </w:p>
    <w:p>
      <w:pPr>
        <w:pStyle w:val="Heading1"/>
        <w:spacing w:after="160" w:before="360"/>
      </w:pPr>
      <w:r>
        <w:t xml:space="preserve">12. Sources</w:t>
      </w:r>
    </w:p>
    <w:p>
      <w:pPr>
        <w:pStyle w:val="ListParagraph"/>
        <w:numPr>
          <w:ilvl w:val="0"/>
          <w:numId w:val="2"/>
        </w:numPr>
        <w:spacing w:after="100" w:line="276"/>
      </w:pPr>
      <w:r>
        <w:rPr>
          <w:b w:val="false"/>
          <w:bCs w:val="false"/>
        </w:rPr>
        <w:t xml:space="preserve">https://anotherit.co.uk/ (home, services, contact, location pages)</w:t>
      </w:r>
    </w:p>
    <w:p>
      <w:pPr>
        <w:pStyle w:val="ListParagraph"/>
        <w:numPr>
          <w:ilvl w:val="0"/>
          <w:numId w:val="2"/>
        </w:numPr>
        <w:spacing w:after="100" w:line="276"/>
      </w:pPr>
      <w:r>
        <w:rPr>
          <w:b w:val="false"/>
          <w:bCs w:val="false"/>
        </w:rPr>
        <w:t xml:space="preserve">Companies House: company 15908359 overview, officers, PSC, filing history, and the iXBRL accounts filed 19 Feb 2026 (period to 31 Aug 2025)</w:t>
      </w:r>
    </w:p>
    <w:p>
      <w:pPr>
        <w:pStyle w:val="ListParagraph"/>
        <w:numPr>
          <w:ilvl w:val="0"/>
          <w:numId w:val="2"/>
        </w:numPr>
        <w:spacing w:after="100" w:line="276"/>
      </w:pPr>
      <w:r>
        <w:rPr>
          <w:b w:val="false"/>
          <w:bCs w:val="false"/>
        </w:rPr>
        <w:t xml:space="preserve">LinkedIn: Aaron Nother profile summary, company page (via search)</w:t>
      </w:r>
    </w:p>
    <w:p>
      <w:pPr>
        <w:pStyle w:val="ListParagraph"/>
        <w:numPr>
          <w:ilvl w:val="0"/>
          <w:numId w:val="2"/>
        </w:numPr>
        <w:spacing w:after="100" w:line="276"/>
      </w:pPr>
      <w:r>
        <w:rPr>
          <w:b w:val="false"/>
          <w:bCs w:val="false"/>
        </w:rPr>
        <w:t xml:space="preserve">Ahrefs: site-explorer metrics, organic keywords and backlink stats for anotherit.co.uk; keywords-explorer GB volumes (3 Aug 2026)</w:t>
      </w:r>
    </w:p>
    <w:p>
      <w:pPr>
        <w:pStyle w:val="ListParagraph"/>
        <w:numPr>
          <w:ilvl w:val="0"/>
          <w:numId w:val="2"/>
        </w:numPr>
        <w:spacing w:after="100" w:line="276"/>
      </w:pPr>
      <w:r>
        <w:rPr>
          <w:b w:val="false"/>
          <w:bCs w:val="false"/>
        </w:rPr>
        <w:t xml:space="preserve">SERPAPI live Google results: “it support farnham” (located Farnham) and “ANother Managed IT Services Alton” brand SERP (3 Aug 2026)</w:t>
      </w:r>
    </w:p>
    <w:p>
      <w:pPr>
        <w:pStyle w:val="ListParagraph"/>
        <w:numPr>
          <w:ilvl w:val="0"/>
          <w:numId w:val="2"/>
        </w:numPr>
        <w:spacing w:after="100" w:line="276"/>
      </w:pPr>
      <w:r>
        <w:rPr>
          <w:b w:val="false"/>
          <w:bCs w:val="false"/>
        </w:rPr>
        <w:t xml:space="preserve">Hampshire Business Networking member page; RocketReach company listing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rFonts w:ascii="Calibri" w:cs="Calibri" w:eastAsia="Calibri" w:hAnsi="Calibri"/>
      <w:b/>
      <w:bCs/>
      <w:color w:val="1F3251"/>
      <w:sz w:val="44"/>
      <w:szCs w:val="44"/>
    </w:rPr>
  </w:style>
  <w:style w:type="paragraph" w:styleId="Heading1">
    <w:name w:val="Heading 1"/>
    <w:basedOn w:val="Normal"/>
    <w:next w:val="Normal"/>
    <w:qFormat/>
    <w:pPr>
      <w:spacing w:after="160" w:before="360"/>
    </w:pPr>
    <w:rPr>
      <w:rFonts w:ascii="Calibri" w:cs="Calibri" w:eastAsia="Calibri" w:hAnsi="Calibri"/>
      <w:b/>
      <w:bCs/>
      <w:color w:val="1F3251"/>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2026-08-03T12:52:29.797Z</dcterms:created>
  <dcterms:modified xsi:type="dcterms:W3CDTF">2026-08-03T12:52:29.798Z</dcterms:modified>
</cp:coreProperties>
</file>

<file path=docProps/custom.xml><?xml version="1.0" encoding="utf-8"?>
<Properties xmlns="http://schemas.openxmlformats.org/officeDocument/2006/custom-properties" xmlns:vt="http://schemas.openxmlformats.org/officeDocument/2006/docPropsVTypes"/>
</file>