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864"/>
          <w:sz w:val="34"/>
          <w:szCs w:val="34"/>
        </w:rPr>
        <w:t xml:space="preserve">Harrison Clarke × TenTerms</w:t>
      </w:r>
    </w:p>
    <w:p>
      <w:pPr>
        <w:spacing w:after="140"/>
      </w:pPr>
      <w:r>
        <w:rPr>
          <w:color w:val="595959"/>
          <w:sz w:val="22"/>
          <w:szCs w:val="22"/>
        </w:rPr>
        <w:t xml:space="preserve">The first 90 days: what we would do, what we would need, and what changes for your team</w:t>
      </w:r>
    </w:p>
    <w:p>
      <w:pPr>
        <w:spacing w:after="140"/>
      </w:pPr>
      <w:r>
        <w:rPr>
          <w:sz w:val="19"/>
          <w:szCs w:val="19"/>
        </w:rPr>
        <w:t xml:space="preserve">This is a defined 90-day project with a review and an off-ramp at the end. Its aim is to build a commercial layer on top of the content engine you have already created: dedicated, properly targeted pages for your highest-value services, meaning dilapidations (especially London), expert witness, commercial building surveys and party wall. Residential enquiries will continue to arrive as a welcome side effect. We write the content in our Content Studio platform, which makes capturing your team's knowledge straightforward and turns sign-offs into checking an email.</w:t>
      </w:r>
    </w:p>
    <w:p>
      <w:pPr>
        <w:pBdr>
          <w:bottom w:val="single" w:color="1F3864" w:sz="6"/>
        </w:pBdr>
        <w:spacing w:after="60" w:before="160"/>
      </w:pPr>
      <w:r>
        <w:rPr>
          <w:b/>
          <w:bCs/>
          <w:color w:val="1F3864"/>
          <w:sz w:val="24"/>
          <w:szCs w:val="24"/>
        </w:rPr>
        <w:t xml:space="preserve">The 90-day plan</w:t>
      </w:r>
    </w:p>
    <w:p>
      <w:pPr>
        <w:spacing w:after="40" w:before="120"/>
      </w:pPr>
      <w:r>
        <w:rPr>
          <w:b/>
          <w:bCs/>
          <w:color w:val="C00000"/>
          <w:sz w:val="20"/>
          <w:szCs w:val="20"/>
        </w:rPr>
        <w:t xml:space="preserve">Month 1</w:t>
      </w:r>
      <w:r>
        <w:rPr>
          <w:b/>
          <w:bCs/>
          <w:sz w:val="20"/>
          <w:szCs w:val="20"/>
        </w:rPr>
        <w:t xml:space="preserve">  Set the targets</w:t>
      </w:r>
    </w:p>
    <w:p>
      <w:pPr>
        <w:pStyle w:val="ListParagraph"/>
        <w:numPr>
          <w:ilvl w:val="0"/>
          <w:numId w:val="2"/>
        </w:numPr>
        <w:spacing w:after="40"/>
      </w:pPr>
      <w:r>
        <w:rPr>
          <w:sz w:val="19"/>
          <w:szCs w:val="19"/>
        </w:rPr>
        <w:t xml:space="preserve">Commercial keyword map: a page-by-page list of exactly which search term each page should own, across the four high-value service lines.</w:t>
      </w:r>
    </w:p>
    <w:p>
      <w:pPr>
        <w:pStyle w:val="ListParagraph"/>
        <w:numPr>
          <w:ilvl w:val="0"/>
          <w:numId w:val="2"/>
        </w:numPr>
        <w:spacing w:after="40"/>
      </w:pPr>
      <w:r>
        <w:rPr>
          <w:sz w:val="19"/>
          <w:szCs w:val="19"/>
        </w:rPr>
        <w:t xml:space="preserve">First drafts begin in Content Studio: a new Dilapidations Survey London page, then re-targeted expert witness, commercial building survey, schedule of dilapidations and party wall pages.</w:t>
      </w:r>
    </w:p>
    <w:p>
      <w:pPr>
        <w:pStyle w:val="ListParagraph"/>
        <w:numPr>
          <w:ilvl w:val="0"/>
          <w:numId w:val="2"/>
        </w:numPr>
        <w:spacing w:after="40"/>
      </w:pPr>
      <w:r>
        <w:rPr>
          <w:sz w:val="19"/>
          <w:szCs w:val="19"/>
        </w:rPr>
        <w:t xml:space="preserve">Internal link plan: your blog guides already rank well, so we connect their authority to the commercial pages they should be supporting.</w:t>
      </w:r>
    </w:p>
    <w:p>
      <w:pPr>
        <w:pStyle w:val="ListParagraph"/>
        <w:numPr>
          <w:ilvl w:val="0"/>
          <w:numId w:val="2"/>
        </w:numPr>
        <w:spacing w:after="40"/>
      </w:pPr>
      <w:r>
        <w:rPr>
          <w:sz w:val="19"/>
          <w:szCs w:val="19"/>
        </w:rPr>
        <w:t xml:space="preserve">Housekeeping from the domain migration, such as the Trustpilot listing that still points at the old .co address. Small fixes that also improve how AI tools describe you.</w:t>
      </w:r>
    </w:p>
    <w:p>
      <w:pPr>
        <w:pStyle w:val="ListParagraph"/>
        <w:numPr>
          <w:ilvl w:val="0"/>
          <w:numId w:val="2"/>
        </w:numPr>
        <w:spacing w:after="40"/>
      </w:pPr>
      <w:r>
        <w:rPr>
          <w:sz w:val="19"/>
          <w:szCs w:val="19"/>
        </w:rPr>
        <w:t xml:space="preserve">Measurement first: baseline rankings, and enquiry tracking by source and service line set up with Holly before any content changes.</w:t>
      </w:r>
    </w:p>
    <w:p>
      <w:pPr>
        <w:spacing w:after="100"/>
      </w:pPr>
      <w:r>
        <w:rPr>
          <w:i/>
          <w:iCs/>
          <w:color w:val="595959"/>
          <w:sz w:val="19"/>
          <w:szCs w:val="19"/>
        </w:rPr>
        <w:t xml:space="preserve">End of month 1: targets agreed, first drafts in review, tracking live.</w:t>
      </w:r>
    </w:p>
    <w:p>
      <w:pPr>
        <w:spacing w:after="40" w:before="120"/>
      </w:pPr>
      <w:r>
        <w:rPr>
          <w:b/>
          <w:bCs/>
          <w:color w:val="C00000"/>
          <w:sz w:val="20"/>
          <w:szCs w:val="20"/>
        </w:rPr>
        <w:t xml:space="preserve">Month 2</w:t>
      </w:r>
      <w:r>
        <w:rPr>
          <w:b/>
          <w:bCs/>
          <w:sz w:val="20"/>
          <w:szCs w:val="20"/>
        </w:rPr>
        <w:t xml:space="preserve">  Build the commercial layer</w:t>
      </w:r>
    </w:p>
    <w:p>
      <w:pPr>
        <w:pStyle w:val="ListParagraph"/>
        <w:numPr>
          <w:ilvl w:val="0"/>
          <w:numId w:val="2"/>
        </w:numPr>
        <w:spacing w:after="40"/>
      </w:pPr>
      <w:r>
        <w:rPr>
          <w:sz w:val="19"/>
          <w:szCs w:val="19"/>
        </w:rPr>
        <w:t xml:space="preserve">We write, you approve: each page is drafted in Content Studio, signed off from your inbox, and published (by us or by Holly, whichever suits your set-up).</w:t>
      </w:r>
    </w:p>
    <w:p>
      <w:pPr>
        <w:pStyle w:val="ListParagraph"/>
        <w:numPr>
          <w:ilvl w:val="0"/>
          <w:numId w:val="2"/>
        </w:numPr>
        <w:spacing w:after="40"/>
      </w:pPr>
      <w:r>
        <w:rPr>
          <w:sz w:val="19"/>
          <w:szCs w:val="19"/>
        </w:rPr>
        <w:t xml:space="preserve">The London dilapidations page goes live, supported by the blog post that already ranks for the phrase.</w:t>
      </w:r>
    </w:p>
    <w:p>
      <w:pPr>
        <w:pStyle w:val="ListParagraph"/>
        <w:numPr>
          <w:ilvl w:val="0"/>
          <w:numId w:val="2"/>
        </w:numPr>
        <w:spacing w:after="40"/>
      </w:pPr>
      <w:r>
        <w:rPr>
          <w:sz w:val="19"/>
          <w:szCs w:val="19"/>
        </w:rPr>
        <w:t xml:space="preserve">Cost and pricing content for the high-value lines, starting with party wall and dilapidations costs. This is the They Ask, You Answer pillar the site has never had, and your own Search Console shows thousands of impressions on these queries.</w:t>
      </w:r>
    </w:p>
    <w:p>
      <w:pPr>
        <w:pStyle w:val="ListParagraph"/>
        <w:numPr>
          <w:ilvl w:val="0"/>
          <w:numId w:val="2"/>
        </w:numPr>
        <w:spacing w:after="40"/>
      </w:pPr>
      <w:r>
        <w:rPr>
          <w:sz w:val="19"/>
          <w:szCs w:val="19"/>
        </w:rPr>
        <w:t xml:space="preserve">Expert witness page rebuilt and linked from your CPR guides, which currently outrank it.</w:t>
      </w:r>
    </w:p>
    <w:p>
      <w:pPr>
        <w:pStyle w:val="ListParagraph"/>
        <w:numPr>
          <w:ilvl w:val="0"/>
          <w:numId w:val="2"/>
        </w:numPr>
        <w:spacing w:after="40"/>
      </w:pPr>
      <w:r>
        <w:rPr>
          <w:sz w:val="19"/>
          <w:szCs w:val="19"/>
        </w:rPr>
        <w:t xml:space="preserve">London Google Business Profile and review push started.</w:t>
      </w:r>
    </w:p>
    <w:p>
      <w:pPr>
        <w:spacing w:after="100"/>
      </w:pPr>
      <w:r>
        <w:rPr>
          <w:i/>
          <w:iCs/>
          <w:color w:val="595959"/>
          <w:sz w:val="19"/>
          <w:szCs w:val="19"/>
        </w:rPr>
        <w:t xml:space="preserve">End of month 2: the priority pages live on the right targets, with first movement measurable.</w:t>
      </w:r>
    </w:p>
    <w:p>
      <w:pPr>
        <w:spacing w:after="40" w:before="120"/>
      </w:pPr>
      <w:r>
        <w:rPr>
          <w:b/>
          <w:bCs/>
          <w:color w:val="C00000"/>
          <w:sz w:val="20"/>
          <w:szCs w:val="20"/>
        </w:rPr>
        <w:t xml:space="preserve">Month 3</w:t>
      </w:r>
      <w:r>
        <w:rPr>
          <w:b/>
          <w:bCs/>
          <w:sz w:val="20"/>
          <w:szCs w:val="20"/>
        </w:rPr>
        <w:t xml:space="preserve">  Prove it</w:t>
      </w:r>
    </w:p>
    <w:p>
      <w:pPr>
        <w:pStyle w:val="ListParagraph"/>
        <w:numPr>
          <w:ilvl w:val="0"/>
          <w:numId w:val="2"/>
        </w:numPr>
        <w:spacing w:after="40"/>
      </w:pPr>
      <w:r>
        <w:rPr>
          <w:sz w:val="19"/>
          <w:szCs w:val="19"/>
        </w:rPr>
        <w:t xml:space="preserve">Commercial survey and technical due diligence content, plus the remaining pages.</w:t>
      </w:r>
    </w:p>
    <w:p>
      <w:pPr>
        <w:pStyle w:val="ListParagraph"/>
        <w:numPr>
          <w:ilvl w:val="0"/>
          <w:numId w:val="2"/>
        </w:numPr>
        <w:spacing w:after="40"/>
      </w:pPr>
      <w:r>
        <w:rPr>
          <w:sz w:val="19"/>
          <w:szCs w:val="19"/>
        </w:rPr>
        <w:t xml:space="preserve">Rank and enquiry review against the month 1 baseline, service line by service line.</w:t>
      </w:r>
    </w:p>
    <w:p>
      <w:pPr>
        <w:pStyle w:val="ListParagraph"/>
        <w:numPr>
          <w:ilvl w:val="0"/>
          <w:numId w:val="2"/>
        </w:numPr>
        <w:spacing w:after="40"/>
      </w:pPr>
      <w:r>
        <w:rPr>
          <w:sz w:val="19"/>
          <w:szCs w:val="19"/>
        </w:rPr>
        <w:t xml:space="preserve">Day-90 review with Tim and Faye: what moved, what it is worth on your own fees and close rates, and a decision on whether to continue. The off-ramp is real.</w:t>
      </w:r>
    </w:p>
    <w:p>
      <w:pPr>
        <w:spacing w:after="60"/>
      </w:pPr>
      <w:r>
        <w:rPr>
          <w:i/>
          <w:iCs/>
          <w:color w:val="595959"/>
          <w:sz w:val="19"/>
          <w:szCs w:val="19"/>
        </w:rPr>
        <w:t xml:space="preserve">End of month 3: a decision based on evidence.</w:t>
      </w:r>
    </w:p>
    <w:p>
      <w:pPr>
        <w:pBdr>
          <w:bottom w:val="single" w:color="1F3864" w:sz="6"/>
        </w:pBdr>
        <w:spacing w:after="60" w:before="160"/>
      </w:pPr>
      <w:r>
        <w:rPr>
          <w:b/>
          <w:bCs/>
          <w:color w:val="1F3864"/>
          <w:sz w:val="24"/>
          <w:szCs w:val="24"/>
        </w:rPr>
        <w:t xml:space="preserve">What we would need from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DEFF5" w:val="clear"/>
            <w:tcMar>
              <w:top w:type="dxa" w:w="40"/>
              <w:left w:type="dxa" w:w="80"/>
              <w:bottom w:type="dxa" w:w="40"/>
              <w:right w:type="dxa" w:w="80"/>
            </w:tcMar>
          </w:tcPr>
          <w:p>
            <w:r>
              <w:rPr>
                <w:b/>
                <w:bCs/>
                <w:sz w:val="18"/>
                <w:szCs w:val="18"/>
              </w:rPr>
              <w:t xml:space="preserve">Week 1 access</w:t>
            </w:r>
          </w:p>
        </w:tc>
        <w:tc>
          <w:tcPr>
            <w:tcW w:type="dxa" w:w="6800"/>
            <w:tcMar>
              <w:top w:type="dxa" w:w="40"/>
              <w:left w:type="dxa" w:w="80"/>
              <w:bottom w:type="dxa" w:w="40"/>
              <w:right w:type="dxa" w:w="80"/>
            </w:tcMar>
          </w:tcPr>
          <w:p>
            <w:r>
              <w:rPr>
                <w:sz w:val="18"/>
                <w:szCs w:val="18"/>
              </w:rPr>
              <w:t xml:space="preserve">Google Search Console, Analytics, the website CMS, Hike, Google Business Profiles, and wherever enquiries land (inbox or CRM). One short kick-off call.</w:t>
            </w:r>
          </w:p>
        </w:tc>
      </w:tr>
      <w:tr>
        <w:tc>
          <w:tcPr>
            <w:tcW w:type="dxa" w:w="2200"/>
            <w:shd w:fill="EDEFF5" w:val="clear"/>
            <w:tcMar>
              <w:top w:type="dxa" w:w="40"/>
              <w:left w:type="dxa" w:w="80"/>
              <w:bottom w:type="dxa" w:w="40"/>
              <w:right w:type="dxa" w:w="80"/>
            </w:tcMar>
          </w:tcPr>
          <w:p>
            <w:r>
              <w:rPr>
                <w:b/>
                <w:bCs/>
                <w:sz w:val="18"/>
                <w:szCs w:val="18"/>
              </w:rPr>
              <w:t xml:space="preserve">Holly</w:t>
            </w:r>
          </w:p>
        </w:tc>
        <w:tc>
          <w:tcPr>
            <w:tcW w:type="dxa" w:w="6800"/>
            <w:tcMar>
              <w:top w:type="dxa" w:w="40"/>
              <w:left w:type="dxa" w:w="80"/>
              <w:bottom w:type="dxa" w:w="40"/>
              <w:right w:type="dxa" w:w="80"/>
            </w:tcMar>
          </w:tcPr>
          <w:p>
            <w:r>
              <w:rPr>
                <w:sz w:val="18"/>
                <w:szCs w:val="18"/>
              </w:rPr>
              <w:t xml:space="preserve">Two to three hours a week. Content Studio makes this light: she answers guided questions about each service so we can write accurately, reviews drafts from her inbox, and pushes approved content live if you would rather publishing stayed in house.</w:t>
            </w:r>
          </w:p>
        </w:tc>
      </w:tr>
      <w:tr>
        <w:tc>
          <w:tcPr>
            <w:tcW w:type="dxa" w:w="2200"/>
            <w:shd w:fill="EDEFF5" w:val="clear"/>
            <w:tcMar>
              <w:top w:type="dxa" w:w="40"/>
              <w:left w:type="dxa" w:w="80"/>
              <w:bottom w:type="dxa" w:w="40"/>
              <w:right w:type="dxa" w:w="80"/>
            </w:tcMar>
          </w:tcPr>
          <w:p>
            <w:r>
              <w:rPr>
                <w:b/>
                <w:bCs/>
                <w:sz w:val="18"/>
                <w:szCs w:val="18"/>
              </w:rPr>
              <w:t xml:space="preserve">Tim / Faye</w:t>
            </w:r>
          </w:p>
        </w:tc>
        <w:tc>
          <w:tcPr>
            <w:tcW w:type="dxa" w:w="6800"/>
            <w:tcMar>
              <w:top w:type="dxa" w:w="40"/>
              <w:left w:type="dxa" w:w="80"/>
              <w:bottom w:type="dxa" w:w="40"/>
              <w:right w:type="dxa" w:w="80"/>
            </w:tcMar>
          </w:tcPr>
          <w:p>
            <w:r>
              <w:rPr>
                <w:sz w:val="18"/>
                <w:szCs w:val="18"/>
              </w:rPr>
              <w:t xml:space="preserve">Thirty to forty-five minutes a month for technical sign-off on service page copy (RICS accuracy), plus London and expert witness case examples and testimonials we can quote. Sign-off arrives by email through Content Studio.</w:t>
            </w:r>
          </w:p>
        </w:tc>
      </w:tr>
      <w:tr>
        <w:tc>
          <w:tcPr>
            <w:tcW w:type="dxa" w:w="2200"/>
            <w:shd w:fill="EDEFF5" w:val="clear"/>
            <w:tcMar>
              <w:top w:type="dxa" w:w="40"/>
              <w:left w:type="dxa" w:w="80"/>
              <w:bottom w:type="dxa" w:w="40"/>
              <w:right w:type="dxa" w:w="80"/>
            </w:tcMar>
          </w:tcPr>
          <w:p>
            <w:r>
              <w:rPr>
                <w:b/>
                <w:bCs/>
                <w:sz w:val="18"/>
                <w:szCs w:val="18"/>
              </w:rPr>
              <w:t xml:space="preserve">The numbers</w:t>
            </w:r>
          </w:p>
        </w:tc>
        <w:tc>
          <w:tcPr>
            <w:tcW w:type="dxa" w:w="6800"/>
            <w:tcMar>
              <w:top w:type="dxa" w:w="40"/>
              <w:left w:type="dxa" w:w="80"/>
              <w:bottom w:type="dxa" w:w="40"/>
              <w:right w:type="dxa" w:w="80"/>
            </w:tcMar>
          </w:tcPr>
          <w:p>
            <w:r>
              <w:rPr>
                <w:sz w:val="18"/>
                <w:szCs w:val="18"/>
              </w:rPr>
              <w:t xml:space="preserve">Monthly enquiry counts by service line, even rough ones. This is what lets us report in instructions and fees rather than rankings.</w:t>
            </w:r>
          </w:p>
        </w:tc>
      </w:tr>
    </w:tbl>
    <w:p>
      <w:pPr>
        <w:spacing w:after="40"/>
      </w:pPr>
      <w:r>
        <w:rPr>
          <w:sz w:val="19"/>
          <w:szCs w:val="19"/>
        </w:rPr>
        <w:t xml:space="preserve"/>
      </w:r>
    </w:p>
    <w:p>
      <w:pPr>
        <w:pBdr>
          <w:bottom w:val="single" w:color="1F3864" w:sz="6"/>
        </w:pBdr>
        <w:spacing w:after="60" w:before="160"/>
      </w:pPr>
      <w:r>
        <w:rPr>
          <w:b/>
          <w:bCs/>
          <w:color w:val="1F3864"/>
          <w:sz w:val="24"/>
          <w:szCs w:val="24"/>
        </w:rPr>
        <w:t xml:space="preserve">What changes for Holly</w:t>
      </w:r>
    </w:p>
    <w:p>
      <w:pPr>
        <w:pStyle w:val="ListParagraph"/>
        <w:numPr>
          <w:ilvl w:val="0"/>
          <w:numId w:val="2"/>
        </w:numPr>
        <w:spacing w:after="40"/>
      </w:pPr>
      <w:r>
        <w:rPr>
          <w:b/>
          <w:bCs/>
          <w:sz w:val="19"/>
          <w:szCs w:val="19"/>
        </w:rPr>
        <w:t xml:space="preserve">Around 10 hours a week of SEO work comes off her plate</w:t>
      </w:r>
      <w:r>
        <w:rPr>
          <w:sz w:val="19"/>
          <w:szCs w:val="19"/>
        </w:rPr>
        <w:t xml:space="preserve">: the keyword research, the targeting decisions, the interpretation of Hike, and the writing itself.</w:t>
      </w:r>
    </w:p>
    <w:p>
      <w:pPr>
        <w:pStyle w:val="ListParagraph"/>
        <w:numPr>
          <w:ilvl w:val="0"/>
          <w:numId w:val="2"/>
        </w:numPr>
        <w:spacing w:after="40"/>
      </w:pPr>
      <w:r>
        <w:rPr>
          <w:sz w:val="19"/>
          <w:szCs w:val="19"/>
        </w:rPr>
        <w:t xml:space="preserve">Her role becomes knowledge capture and sign-off, and Content Studio is built to make both easy. She supplies service knowledge through guided questions, and approvals arrive in her inbox. In practice this is two to three hours a week.</w:t>
      </w:r>
    </w:p>
    <w:p>
      <w:pPr>
        <w:pStyle w:val="ListParagraph"/>
        <w:numPr>
          <w:ilvl w:val="0"/>
          <w:numId w:val="2"/>
        </w:numPr>
        <w:spacing w:after="40"/>
      </w:pPr>
      <w:r>
        <w:rPr>
          <w:sz w:val="19"/>
          <w:szCs w:val="19"/>
        </w:rPr>
        <w:t xml:space="preserve">She keeps full ownership of social media and the wider marketing calendar, and when the tracking shows which pages produced instructions, that evidence of impact is hers to present.</w:t>
      </w:r>
    </w:p>
    <w:p>
      <w:pPr>
        <w:pStyle w:val="ListParagraph"/>
        <w:numPr>
          <w:ilvl w:val="0"/>
          <w:numId w:val="2"/>
        </w:numPr>
        <w:spacing w:after="40"/>
      </w:pPr>
      <w:r>
        <w:rPr>
          <w:sz w:val="19"/>
          <w:szCs w:val="19"/>
        </w:rPr>
        <w:t xml:space="preserve">The blog library she has built is the foundation of this plan and stays exactly where it is. The work connects it to a commercial layer that has been missing.</w:t>
      </w:r>
    </w:p>
    <w:p>
      <w:pPr>
        <w:pBdr>
          <w:bottom w:val="single" w:color="1F3864" w:sz="6"/>
        </w:pBdr>
        <w:spacing w:after="60" w:before="160"/>
      </w:pPr>
      <w:r>
        <w:rPr>
          <w:b/>
          <w:bCs/>
          <w:color w:val="1F3864"/>
          <w:sz w:val="24"/>
          <w:szCs w:val="24"/>
        </w:rPr>
        <w:t xml:space="preserve">What it is worth (on your figures)</w:t>
      </w:r>
    </w:p>
    <w:p>
      <w:pPr>
        <w:spacing w:after="80"/>
      </w:pPr>
      <w:r>
        <w:rPr>
          <w:sz w:val="19"/>
          <w:szCs w:val="19"/>
        </w:rPr>
        <w:t xml:space="preserve">Every line below is extra jobs won over the first year, priced at the average fees Tim gave us. The party wall counts already apply his one-in-two close rate on enquiries, and the expert witness counts sit inside the £300k of capacity Tim has identified for one individual. Multiply any line out and you get the total. Residential work is excluded from the targets, so anything it adds is on top.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1900"/>
      </w:tblGrid>
      <w:tr>
        <w:tc>
          <w:tcPr>
            <w:tcW w:type="dxa" w:w="1700"/>
            <w:shd w:fill="ED7D31" w:val="clear"/>
            <w:tcMar>
              <w:top w:type="dxa" w:w="40"/>
              <w:left w:type="dxa" w:w="80"/>
              <w:bottom w:type="dxa" w:w="40"/>
              <w:right w:type="dxa" w:w="80"/>
            </w:tcMar>
          </w:tcPr>
          <w:p>
            <w:r>
              <w:rPr>
                <w:b/>
                <w:bCs/>
                <w:color w:val="FFFFFF"/>
                <w:sz w:val="18"/>
                <w:szCs w:val="18"/>
              </w:rPr>
              <w:t xml:space="preserve">Scenario</w:t>
            </w:r>
          </w:p>
        </w:tc>
        <w:tc>
          <w:tcPr>
            <w:tcW w:type="dxa" w:w="5400"/>
            <w:shd w:fill="ED7D31" w:val="clear"/>
            <w:tcMar>
              <w:top w:type="dxa" w:w="40"/>
              <w:left w:type="dxa" w:w="80"/>
              <w:bottom w:type="dxa" w:w="40"/>
              <w:right w:type="dxa" w:w="80"/>
            </w:tcMar>
          </w:tcPr>
          <w:p>
            <w:r>
              <w:rPr>
                <w:b/>
                <w:bCs/>
                <w:color w:val="FFFFFF"/>
                <w:sz w:val="18"/>
                <w:szCs w:val="18"/>
              </w:rPr>
              <w:t xml:space="preserve">Additional work</w:t>
            </w:r>
          </w:p>
        </w:tc>
        <w:tc>
          <w:tcPr>
            <w:tcW w:type="dxa" w:w="1900"/>
            <w:shd w:fill="ED7D31" w:val="clear"/>
            <w:tcMar>
              <w:top w:type="dxa" w:w="40"/>
              <w:left w:type="dxa" w:w="80"/>
              <w:bottom w:type="dxa" w:w="40"/>
              <w:right w:type="dxa" w:w="80"/>
            </w:tcMar>
          </w:tcPr>
          <w:p>
            <w:pPr>
              <w:jc w:val="right"/>
            </w:pPr>
            <w:r>
              <w:rPr>
                <w:b/>
                <w:bCs/>
                <w:color w:val="FFFFFF"/>
                <w:sz w:val="18"/>
                <w:szCs w:val="18"/>
              </w:rPr>
              <w:t xml:space="preserve">New revenue / year</w:t>
            </w:r>
          </w:p>
        </w:tc>
      </w:tr>
      <w:tr>
        <w:tc>
          <w:tcPr>
            <w:tcW w:type="dxa" w:w="1700"/>
            <w:tcMar>
              <w:top w:type="dxa" w:w="40"/>
              <w:left w:type="dxa" w:w="80"/>
              <w:bottom w:type="dxa" w:w="40"/>
              <w:right w:type="dxa" w:w="80"/>
            </w:tcMar>
          </w:tcPr>
          <w:p>
            <w:r>
              <w:rPr>
                <w:b/>
                <w:bCs/>
                <w:sz w:val="18"/>
                <w:szCs w:val="18"/>
              </w:rPr>
              <w:t xml:space="preserve">Conservative</w:t>
            </w:r>
          </w:p>
        </w:tc>
        <w:tc>
          <w:tcPr>
            <w:tcW w:type="dxa" w:w="5400"/>
            <w:tcMar>
              <w:top w:type="dxa" w:w="40"/>
              <w:left w:type="dxa" w:w="80"/>
              <w:bottom w:type="dxa" w:w="40"/>
              <w:right w:type="dxa" w:w="80"/>
            </w:tcMar>
          </w:tcPr>
          <w:p>
            <w:r>
              <w:rPr>
                <w:sz w:val="18"/>
                <w:szCs w:val="18"/>
              </w:rPr>
              <w:t xml:space="preserve">+ 7 dilapidations instructions (avg £3,500)</w:t>
            </w:r>
          </w:p>
          <w:p>
            <w:r>
              <w:rPr>
                <w:sz w:val="18"/>
                <w:szCs w:val="18"/>
              </w:rPr>
              <w:t xml:space="preserve">+ 6 commercial surveys (avg £2,500)</w:t>
            </w:r>
          </w:p>
          <w:p>
            <w:r>
              <w:rPr>
                <w:sz w:val="18"/>
                <w:szCs w:val="18"/>
              </w:rPr>
              <w:t xml:space="preserve">+ 5 expert witness instructions (avg £4,000)</w:t>
            </w:r>
          </w:p>
          <w:p>
            <w:r>
              <w:rPr>
                <w:sz w:val="18"/>
                <w:szCs w:val="18"/>
              </w:rPr>
              <w:t xml:space="preserve">+ 12 party wall jobs (avg £1,350)</w:t>
            </w:r>
          </w:p>
        </w:tc>
        <w:tc>
          <w:tcPr>
            <w:tcW w:type="dxa" w:w="1900"/>
            <w:tcMar>
              <w:top w:type="dxa" w:w="40"/>
              <w:left w:type="dxa" w:w="80"/>
              <w:bottom w:type="dxa" w:w="40"/>
              <w:right w:type="dxa" w:w="80"/>
            </w:tcMar>
          </w:tcPr>
          <w:p>
            <w:pPr>
              <w:jc w:val="right"/>
            </w:pPr>
            <w:r>
              <w:rPr>
                <w:b/>
                <w:bCs/>
                <w:sz w:val="18"/>
                <w:szCs w:val="18"/>
              </w:rPr>
              <w:t xml:space="preserve">~£75k</w:t>
            </w:r>
          </w:p>
        </w:tc>
      </w:tr>
      <w:tr>
        <w:tc>
          <w:tcPr>
            <w:tcW w:type="dxa" w:w="1700"/>
            <w:tcMar>
              <w:top w:type="dxa" w:w="40"/>
              <w:left w:type="dxa" w:w="80"/>
              <w:bottom w:type="dxa" w:w="40"/>
              <w:right w:type="dxa" w:w="80"/>
            </w:tcMar>
          </w:tcPr>
          <w:p>
            <w:r>
              <w:rPr>
                <w:b/>
                <w:bCs/>
                <w:sz w:val="18"/>
                <w:szCs w:val="18"/>
              </w:rPr>
              <w:t xml:space="preserve">Realistic</w:t>
            </w:r>
          </w:p>
        </w:tc>
        <w:tc>
          <w:tcPr>
            <w:tcW w:type="dxa" w:w="5400"/>
            <w:tcMar>
              <w:top w:type="dxa" w:w="40"/>
              <w:left w:type="dxa" w:w="80"/>
              <w:bottom w:type="dxa" w:w="40"/>
              <w:right w:type="dxa" w:w="80"/>
            </w:tcMar>
          </w:tcPr>
          <w:p>
            <w:r>
              <w:rPr>
                <w:sz w:val="18"/>
                <w:szCs w:val="18"/>
              </w:rPr>
              <w:t xml:space="preserve">+ 14 dilapidations instructions (avg £4,000)</w:t>
            </w:r>
          </w:p>
          <w:p>
            <w:r>
              <w:rPr>
                <w:sz w:val="18"/>
                <w:szCs w:val="18"/>
              </w:rPr>
              <w:t xml:space="preserve">+ 12 commercial surveys (avg £2,500)</w:t>
            </w:r>
          </w:p>
          <w:p>
            <w:r>
              <w:rPr>
                <w:sz w:val="18"/>
                <w:szCs w:val="18"/>
              </w:rPr>
              <w:t xml:space="preserve">+ 12 expert witness instructions (avg £4,000)</w:t>
            </w:r>
          </w:p>
          <w:p>
            <w:r>
              <w:rPr>
                <w:sz w:val="18"/>
                <w:szCs w:val="18"/>
              </w:rPr>
              <w:t xml:space="preserve">+ 24 party wall jobs (avg £1,350)</w:t>
            </w:r>
          </w:p>
        </w:tc>
        <w:tc>
          <w:tcPr>
            <w:tcW w:type="dxa" w:w="1900"/>
            <w:tcMar>
              <w:top w:type="dxa" w:w="40"/>
              <w:left w:type="dxa" w:w="80"/>
              <w:bottom w:type="dxa" w:w="40"/>
              <w:right w:type="dxa" w:w="80"/>
            </w:tcMar>
          </w:tcPr>
          <w:p>
            <w:pPr>
              <w:jc w:val="right"/>
            </w:pPr>
            <w:r>
              <w:rPr>
                <w:b/>
                <w:bCs/>
                <w:sz w:val="18"/>
                <w:szCs w:val="18"/>
              </w:rPr>
              <w:t xml:space="preserve">~£165k</w:t>
            </w:r>
          </w:p>
        </w:tc>
      </w:tr>
      <w:tr>
        <w:tc>
          <w:tcPr>
            <w:tcW w:type="dxa" w:w="1700"/>
            <w:tcMar>
              <w:top w:type="dxa" w:w="40"/>
              <w:left w:type="dxa" w:w="80"/>
              <w:bottom w:type="dxa" w:w="40"/>
              <w:right w:type="dxa" w:w="80"/>
            </w:tcMar>
          </w:tcPr>
          <w:p>
            <w:r>
              <w:rPr>
                <w:b/>
                <w:bCs/>
                <w:sz w:val="18"/>
                <w:szCs w:val="18"/>
              </w:rPr>
              <w:t xml:space="preserve">Stretch</w:t>
            </w:r>
          </w:p>
        </w:tc>
        <w:tc>
          <w:tcPr>
            <w:tcW w:type="dxa" w:w="5400"/>
            <w:tcMar>
              <w:top w:type="dxa" w:w="40"/>
              <w:left w:type="dxa" w:w="80"/>
              <w:bottom w:type="dxa" w:w="40"/>
              <w:right w:type="dxa" w:w="80"/>
            </w:tcMar>
          </w:tcPr>
          <w:p>
            <w:r>
              <w:rPr>
                <w:sz w:val="18"/>
                <w:szCs w:val="18"/>
              </w:rPr>
              <w:t xml:space="preserve">+ 20 dilapidations instructions (avg £4,500)</w:t>
            </w:r>
          </w:p>
          <w:p>
            <w:r>
              <w:rPr>
                <w:sz w:val="18"/>
                <w:szCs w:val="18"/>
              </w:rPr>
              <w:t xml:space="preserve">+ 18 commercial surveys (avg £2,500)</w:t>
            </w:r>
          </w:p>
          <w:p>
            <w:r>
              <w:rPr>
                <w:sz w:val="18"/>
                <w:szCs w:val="18"/>
              </w:rPr>
              <w:t xml:space="preserve">+ 36 expert witness instructions (avg £4,000)</w:t>
            </w:r>
          </w:p>
          <w:p>
            <w:r>
              <w:rPr>
                <w:sz w:val="18"/>
                <w:szCs w:val="18"/>
              </w:rPr>
              <w:t xml:space="preserve">+ 48 party wall jobs (avg £1,350)</w:t>
            </w:r>
          </w:p>
        </w:tc>
        <w:tc>
          <w:tcPr>
            <w:tcW w:type="dxa" w:w="1900"/>
            <w:tcMar>
              <w:top w:type="dxa" w:w="40"/>
              <w:left w:type="dxa" w:w="80"/>
              <w:bottom w:type="dxa" w:w="40"/>
              <w:right w:type="dxa" w:w="80"/>
            </w:tcMar>
          </w:tcPr>
          <w:p>
            <w:pPr>
              <w:jc w:val="right"/>
            </w:pPr>
            <w:r>
              <w:rPr>
                <w:b/>
                <w:bCs/>
                <w:sz w:val="18"/>
                <w:szCs w:val="18"/>
              </w:rPr>
              <w:t xml:space="preserve">~£345k</w:t>
            </w:r>
          </w:p>
        </w:tc>
      </w:tr>
    </w:tbl>
    <w:p>
      <w:pPr>
        <w:spacing w:after="40"/>
      </w:pPr>
      <w:r>
        <w:rPr>
          <w:sz w:val="19"/>
          <w:szCs w:val="19"/>
        </w:rPr>
        <w:t xml:space="preserve"/>
      </w:r>
    </w:p>
    <w:p>
      <w:pPr>
        <w:spacing w:after="80"/>
      </w:pPr>
      <w:r>
        <w:rPr>
          <w:sz w:val="19"/>
          <w:szCs w:val="19"/>
        </w:rPr>
        <w:t xml:space="preserve">These are first-year totals and the early months are build time, so the run rate by month 12 is higher than the averages above suggest.</w:t>
      </w:r>
    </w:p>
    <w:p>
      <w:pPr>
        <w:spacing w:after="0"/>
      </w:pPr>
      <w:r>
        <w:rPr>
          <w:color w:val="595959"/>
          <w:sz w:val="19"/>
          <w:szCs w:val="19"/>
        </w:rPr>
        <w:t xml:space="preserve">Two notes on these numbers. The realistic case is sized to fit within your existing team; the expert witness opportunity in particular is one individual's caseload. Work the team absorbs without hiring only costs the time spent delivering it, so each additional instruction keeps considerably more than the firm's overall 20%, because the rent and the salaries are already covered. The stretch case is the point where a hire would enter the picture, and the day-90 evidence is the right basis for that decision. Finally, the pages built in this project continue to produce in year two without further build cost.</w:t>
      </w:r>
    </w:p>
    <w:sectPr>
      <w:pgSz w:w="11906" w:h="16838" w:orient="portrait"/>
      <w:pgMar w:top="680" w:right="900" w:bottom="6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pPr>
        <w:spacing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2026-09-04T15:56:29.307Z</dcterms:created>
  <dcterms:modified xsi:type="dcterms:W3CDTF">2026-09-04T15:56:29.307Z</dcterms:modified>
</cp:coreProperties>
</file>

<file path=docProps/custom.xml><?xml version="1.0" encoding="utf-8"?>
<Properties xmlns="http://schemas.openxmlformats.org/officeDocument/2006/custom-properties" xmlns:vt="http://schemas.openxmlformats.org/officeDocument/2006/docPropsVTypes"/>
</file>