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Harrison Clarke × TenTerms</w:t>
      </w:r>
    </w:p>
    <w:p>
      <w:pPr>
        <w:spacing w:after="140"/>
      </w:pPr>
      <w:r>
        <w:rPr>
          <w:color w:val="595959"/>
          <w:sz w:val="22"/>
          <w:szCs w:val="22"/>
        </w:rPr>
        <w:t xml:space="preserve">The first 90 days — what we would do, what we would need, and what changes for your team</w:t>
      </w:r>
    </w:p>
    <w:p>
      <w:pPr>
        <w:spacing w:after="140"/>
      </w:pPr>
      <w:r>
        <w:rPr>
          <w:sz w:val="19"/>
          <w:szCs w:val="19"/>
        </w:rPr>
        <w:t xml:space="preserve">This is a defined 90-day sprint with an off-ramp, not an open-ended retainer. Its single job is to point the content engine you have already built — the reviews, the blog library, Holly’s production capacity — at your highest-value work: dilapidations (especially London), expert witness, commercial building surveys and party wall. Residential enquiries will still come, but they are a byproduct, not the target. Nothing here replaces your internal marketing; it feeds it.</w:t>
      </w:r>
    </w:p>
    <w:p>
      <w:pPr>
        <w:pBdr>
          <w:bottom w:val="single" w:color="1F3864" w:sz="6"/>
        </w:pBdr>
        <w:spacing w:after="60" w:before="160"/>
      </w:pPr>
      <w:r>
        <w:rPr>
          <w:b/>
          <w:bCs/>
          <w:color w:val="1F3864"/>
          <w:sz w:val="24"/>
          <w:szCs w:val="24"/>
        </w:rPr>
        <w:t xml:space="preserve">The 90-day plan</w:t>
      </w:r>
    </w:p>
    <w:p>
      <w:pPr>
        <w:spacing w:after="40" w:before="120"/>
      </w:pPr>
      <w:r>
        <w:rPr>
          <w:b/>
          <w:bCs/>
          <w:color w:val="C00000"/>
          <w:sz w:val="20"/>
          <w:szCs w:val="20"/>
        </w:rPr>
        <w:t xml:space="preserve">Month 1</w:t>
      </w:r>
      <w:r>
        <w:rPr>
          <w:b/>
          <w:bCs/>
          <w:sz w:val="20"/>
          <w:szCs w:val="20"/>
        </w:rPr>
        <w:t xml:space="preserve">  Aim — point everything at the money</w:t>
      </w:r>
    </w:p>
    <w:p>
      <w:pPr>
        <w:pStyle w:val="ListParagraph"/>
        <w:numPr>
          <w:ilvl w:val="0"/>
          <w:numId w:val="2"/>
        </w:numPr>
        <w:spacing w:after="40"/>
      </w:pPr>
      <w:r>
        <w:rPr>
          <w:sz w:val="19"/>
          <w:szCs w:val="19"/>
        </w:rPr>
        <w:t xml:space="preserve">Commercial keyword map: a page-by-page list of exactly which search term each page should own, across the four high-value service lines.</w:t>
      </w:r>
    </w:p>
    <w:p>
      <w:pPr>
        <w:pStyle w:val="ListParagraph"/>
        <w:numPr>
          <w:ilvl w:val="0"/>
          <w:numId w:val="2"/>
        </w:numPr>
        <w:spacing w:after="40"/>
      </w:pPr>
      <w:r>
        <w:rPr>
          <w:sz w:val="19"/>
          <w:szCs w:val="19"/>
        </w:rPr>
        <w:t xml:space="preserve">Written briefs for the money pages: a new “Dilapidations Survey London” service page, and re-targeted expert witness, commercial building survey, schedule of dilapidations and party wall pages.</w:t>
      </w:r>
    </w:p>
    <w:p>
      <w:pPr>
        <w:pStyle w:val="ListParagraph"/>
        <w:numPr>
          <w:ilvl w:val="0"/>
          <w:numId w:val="2"/>
        </w:numPr>
        <w:spacing w:after="40"/>
      </w:pPr>
      <w:r>
        <w:rPr>
          <w:sz w:val="19"/>
          <w:szCs w:val="19"/>
        </w:rPr>
        <w:t xml:space="preserve">Internal link plan: your blog guides already rank — we wire their authority into the service pages they should be selling for.</w:t>
      </w:r>
    </w:p>
    <w:p>
      <w:pPr>
        <w:pStyle w:val="ListParagraph"/>
        <w:numPr>
          <w:ilvl w:val="0"/>
          <w:numId w:val="2"/>
        </w:numPr>
        <w:spacing w:after="40"/>
      </w:pPr>
      <w:r>
        <w:rPr>
          <w:sz w:val="19"/>
          <w:szCs w:val="19"/>
        </w:rPr>
        <w:t xml:space="preserve">Housekeeping from the domain migration (e.g. Trustpilot still points at the old .co address) — small fixes that also improve how AI tools describe you.</w:t>
      </w:r>
    </w:p>
    <w:p>
      <w:pPr>
        <w:pStyle w:val="ListParagraph"/>
        <w:numPr>
          <w:ilvl w:val="0"/>
          <w:numId w:val="2"/>
        </w:numPr>
        <w:spacing w:after="40"/>
      </w:pPr>
      <w:r>
        <w:rPr>
          <w:sz w:val="19"/>
          <w:szCs w:val="19"/>
        </w:rPr>
        <w:t xml:space="preserve">Measurement first: baseline rankings and an enquiry-attribution set-up designed with Holly, so every enquiry is tagged by source and service line from day one.</w:t>
      </w:r>
    </w:p>
    <w:p>
      <w:pPr>
        <w:spacing w:after="100"/>
      </w:pPr>
      <w:r>
        <w:rPr>
          <w:i/>
          <w:iCs/>
          <w:color w:val="595959"/>
          <w:sz w:val="19"/>
          <w:szCs w:val="19"/>
        </w:rPr>
        <w:t xml:space="preserve">End of month 1: the targeting map agreed, the first briefs in Holly’s hands, tracking live.</w:t>
      </w:r>
    </w:p>
    <w:p>
      <w:pPr>
        <w:spacing w:after="40" w:before="120"/>
      </w:pPr>
      <w:r>
        <w:rPr>
          <w:b/>
          <w:bCs/>
          <w:color w:val="C00000"/>
          <w:sz w:val="20"/>
          <w:szCs w:val="20"/>
        </w:rPr>
        <w:t xml:space="preserve">Month 2</w:t>
      </w:r>
      <w:r>
        <w:rPr>
          <w:b/>
          <w:bCs/>
          <w:sz w:val="20"/>
          <w:szCs w:val="20"/>
        </w:rPr>
        <w:t xml:space="preserve">  Build — publish the pages that sell</w:t>
      </w:r>
    </w:p>
    <w:p>
      <w:pPr>
        <w:pStyle w:val="ListParagraph"/>
        <w:numPr>
          <w:ilvl w:val="0"/>
          <w:numId w:val="2"/>
        </w:numPr>
        <w:spacing w:after="40"/>
      </w:pPr>
      <w:r>
        <w:rPr>
          <w:sz w:val="19"/>
          <w:szCs w:val="19"/>
        </w:rPr>
        <w:t xml:space="preserve">Holly publishes the rewritten money pages from our briefs; we quality-check each one before and after it goes live.</w:t>
      </w:r>
    </w:p>
    <w:p>
      <w:pPr>
        <w:pStyle w:val="ListParagraph"/>
        <w:numPr>
          <w:ilvl w:val="0"/>
          <w:numId w:val="2"/>
        </w:numPr>
        <w:spacing w:after="40"/>
      </w:pPr>
      <w:r>
        <w:rPr>
          <w:sz w:val="19"/>
          <w:szCs w:val="19"/>
        </w:rPr>
        <w:t xml:space="preserve">The London dilapidations page goes live, supported by the blog post that already ranks for it.</w:t>
      </w:r>
    </w:p>
    <w:p>
      <w:pPr>
        <w:pStyle w:val="ListParagraph"/>
        <w:numPr>
          <w:ilvl w:val="0"/>
          <w:numId w:val="2"/>
        </w:numPr>
        <w:spacing w:after="40"/>
      </w:pPr>
      <w:r>
        <w:rPr>
          <w:sz w:val="19"/>
          <w:szCs w:val="19"/>
        </w:rPr>
        <w:t xml:space="preserve">Cost and pricing content for the high-value lines (party wall cost, dilapidations costs) — the “They Ask, You Answer” pillar the site has never had, on queries your Search Console already shows thousands of impressions for.</w:t>
      </w:r>
    </w:p>
    <w:p>
      <w:pPr>
        <w:pStyle w:val="ListParagraph"/>
        <w:numPr>
          <w:ilvl w:val="0"/>
          <w:numId w:val="2"/>
        </w:numPr>
        <w:spacing w:after="40"/>
      </w:pPr>
      <w:r>
        <w:rPr>
          <w:sz w:val="19"/>
          <w:szCs w:val="19"/>
        </w:rPr>
        <w:t xml:space="preserve">Expert witness page rebuilt and linked from your CPR guides, which currently outrank it.</w:t>
      </w:r>
    </w:p>
    <w:p>
      <w:pPr>
        <w:pStyle w:val="ListParagraph"/>
        <w:numPr>
          <w:ilvl w:val="0"/>
          <w:numId w:val="2"/>
        </w:numPr>
        <w:spacing w:after="40"/>
      </w:pPr>
      <w:r>
        <w:rPr>
          <w:sz w:val="19"/>
          <w:szCs w:val="19"/>
        </w:rPr>
        <w:t xml:space="preserve">Second batch of briefs; London Google Business Profile and review push started.</w:t>
      </w:r>
    </w:p>
    <w:p>
      <w:pPr>
        <w:spacing w:after="100"/>
      </w:pPr>
      <w:r>
        <w:rPr>
          <w:i/>
          <w:iCs/>
          <w:color w:val="595959"/>
          <w:sz w:val="19"/>
          <w:szCs w:val="19"/>
        </w:rPr>
        <w:t xml:space="preserve">End of month 2: every priority page live on the right target; first ranking movement measurable.</w:t>
      </w:r>
    </w:p>
    <w:p>
      <w:pPr>
        <w:spacing w:after="40" w:before="120"/>
      </w:pPr>
      <w:r>
        <w:rPr>
          <w:b/>
          <w:bCs/>
          <w:color w:val="C00000"/>
          <w:sz w:val="20"/>
          <w:szCs w:val="20"/>
        </w:rPr>
        <w:t xml:space="preserve">Month 3</w:t>
      </w:r>
      <w:r>
        <w:rPr>
          <w:b/>
          <w:bCs/>
          <w:sz w:val="20"/>
          <w:szCs w:val="20"/>
        </w:rPr>
        <w:t xml:space="preserve">  Prove — evidence, then a decision</w:t>
      </w:r>
    </w:p>
    <w:p>
      <w:pPr>
        <w:pStyle w:val="ListParagraph"/>
        <w:numPr>
          <w:ilvl w:val="0"/>
          <w:numId w:val="2"/>
        </w:numPr>
        <w:spacing w:after="40"/>
      </w:pPr>
      <w:r>
        <w:rPr>
          <w:sz w:val="19"/>
          <w:szCs w:val="19"/>
        </w:rPr>
        <w:t xml:space="preserve">Commercial survey / technical due diligence content and the remaining briefs.</w:t>
      </w:r>
    </w:p>
    <w:p>
      <w:pPr>
        <w:pStyle w:val="ListParagraph"/>
        <w:numPr>
          <w:ilvl w:val="0"/>
          <w:numId w:val="2"/>
        </w:numPr>
        <w:spacing w:after="40"/>
      </w:pPr>
      <w:r>
        <w:rPr>
          <w:sz w:val="19"/>
          <w:szCs w:val="19"/>
        </w:rPr>
        <w:t xml:space="preserve">Rank and enquiry review against the month-1 baseline, service line by service line.</w:t>
      </w:r>
    </w:p>
    <w:p>
      <w:pPr>
        <w:pStyle w:val="ListParagraph"/>
        <w:numPr>
          <w:ilvl w:val="0"/>
          <w:numId w:val="2"/>
        </w:numPr>
        <w:spacing w:after="40"/>
      </w:pPr>
      <w:r>
        <w:rPr>
          <w:sz w:val="19"/>
          <w:szCs w:val="19"/>
        </w:rPr>
        <w:t xml:space="preserve">Day-90 review with Tim and Faye: what moved, what it is worth on your own fees and close rates, and a keep/stop decision made from evidence — the off-ramp is real.</w:t>
      </w:r>
    </w:p>
    <w:p>
      <w:pPr>
        <w:spacing w:after="60"/>
      </w:pPr>
      <w:r>
        <w:rPr>
          <w:i/>
          <w:iCs/>
          <w:color w:val="595959"/>
          <w:sz w:val="19"/>
          <w:szCs w:val="19"/>
        </w:rPr>
        <w:t xml:space="preserve">End of month 3: a decision based on your numbers, not our promises.</w:t>
      </w:r>
    </w:p>
    <w:p>
      <w:pPr>
        <w:pBdr>
          <w:bottom w:val="single" w:color="1F3864" w:sz="6"/>
        </w:pBdr>
        <w:spacing w:after="60" w:before="160"/>
      </w:pPr>
      <w:r>
        <w:rPr>
          <w:b/>
          <w:bCs/>
          <w:color w:val="1F3864"/>
          <w:sz w:val="24"/>
          <w:szCs w:val="24"/>
        </w:rPr>
        <w:t xml:space="preserve">What we would need from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EDEFF5" w:val="clear"/>
            <w:tcMar>
              <w:top w:type="dxa" w:w="40"/>
              <w:left w:type="dxa" w:w="80"/>
              <w:bottom w:type="dxa" w:w="40"/>
              <w:right w:type="dxa" w:w="80"/>
            </w:tcMar>
          </w:tcPr>
          <w:p>
            <w:r>
              <w:rPr>
                <w:b/>
                <w:bCs/>
                <w:sz w:val="18"/>
                <w:szCs w:val="18"/>
              </w:rPr>
              <w:t xml:space="preserve">Week 1 access</w:t>
            </w:r>
          </w:p>
        </w:tc>
        <w:tc>
          <w:tcPr>
            <w:tcW w:type="dxa" w:w="6800"/>
            <w:tcMar>
              <w:top w:type="dxa" w:w="40"/>
              <w:left w:type="dxa" w:w="80"/>
              <w:bottom w:type="dxa" w:w="40"/>
              <w:right w:type="dxa" w:w="80"/>
            </w:tcMar>
          </w:tcPr>
          <w:p>
            <w:r>
              <w:rPr>
                <w:sz w:val="18"/>
                <w:szCs w:val="18"/>
              </w:rPr>
              <w:t xml:space="preserve">Google Search Console, Analytics, the website CMS, Hike, Google Business Profiles, and wherever enquiries land (inbox/CRM). One short kick-off call.</w:t>
            </w:r>
          </w:p>
        </w:tc>
      </w:tr>
      <w:tr>
        <w:tc>
          <w:tcPr>
            <w:tcW w:type="dxa" w:w="2200"/>
            <w:shd w:fill="EDEFF5" w:val="clear"/>
            <w:tcMar>
              <w:top w:type="dxa" w:w="40"/>
              <w:left w:type="dxa" w:w="80"/>
              <w:bottom w:type="dxa" w:w="40"/>
              <w:right w:type="dxa" w:w="80"/>
            </w:tcMar>
          </w:tcPr>
          <w:p>
            <w:r>
              <w:rPr>
                <w:b/>
                <w:bCs/>
                <w:sz w:val="18"/>
                <w:szCs w:val="18"/>
              </w:rPr>
              <w:t xml:space="preserve">Holly</w:t>
            </w:r>
          </w:p>
        </w:tc>
        <w:tc>
          <w:tcPr>
            <w:tcW w:type="dxa" w:w="6800"/>
            <w:tcMar>
              <w:top w:type="dxa" w:w="40"/>
              <w:left w:type="dxa" w:w="80"/>
              <w:bottom w:type="dxa" w:w="40"/>
              <w:right w:type="dxa" w:w="80"/>
            </w:tcMar>
          </w:tcPr>
          <w:p>
            <w:r>
              <w:rPr>
                <w:sz w:val="18"/>
                <w:szCs w:val="18"/>
              </w:rPr>
              <w:t xml:space="preserve">2–3 hours a week: publishing pages and posts from our briefs, gathering service details, chasing sign-offs. She stays the owner of content and social.</w:t>
            </w:r>
          </w:p>
        </w:tc>
      </w:tr>
      <w:tr>
        <w:tc>
          <w:tcPr>
            <w:tcW w:type="dxa" w:w="2200"/>
            <w:shd w:fill="EDEFF5" w:val="clear"/>
            <w:tcMar>
              <w:top w:type="dxa" w:w="40"/>
              <w:left w:type="dxa" w:w="80"/>
              <w:bottom w:type="dxa" w:w="40"/>
              <w:right w:type="dxa" w:w="80"/>
            </w:tcMar>
          </w:tcPr>
          <w:p>
            <w:r>
              <w:rPr>
                <w:b/>
                <w:bCs/>
                <w:sz w:val="18"/>
                <w:szCs w:val="18"/>
              </w:rPr>
              <w:t xml:space="preserve">Tim / Faye</w:t>
            </w:r>
          </w:p>
        </w:tc>
        <w:tc>
          <w:tcPr>
            <w:tcW w:type="dxa" w:w="6800"/>
            <w:tcMar>
              <w:top w:type="dxa" w:w="40"/>
              <w:left w:type="dxa" w:w="80"/>
              <w:bottom w:type="dxa" w:w="40"/>
              <w:right w:type="dxa" w:w="80"/>
            </w:tcMar>
          </w:tcPr>
          <w:p>
            <w:r>
              <w:rPr>
                <w:sz w:val="18"/>
                <w:szCs w:val="18"/>
              </w:rPr>
              <w:t xml:space="preserve">30–45 minutes a month: technical sign-off on service-page copy (RICS accuracy), plus London and expert-witness case examples and testimonials we can quote.</w:t>
            </w:r>
          </w:p>
        </w:tc>
      </w:tr>
      <w:tr>
        <w:tc>
          <w:tcPr>
            <w:tcW w:type="dxa" w:w="2200"/>
            <w:shd w:fill="EDEFF5" w:val="clear"/>
            <w:tcMar>
              <w:top w:type="dxa" w:w="40"/>
              <w:left w:type="dxa" w:w="80"/>
              <w:bottom w:type="dxa" w:w="40"/>
              <w:right w:type="dxa" w:w="80"/>
            </w:tcMar>
          </w:tcPr>
          <w:p>
            <w:r>
              <w:rPr>
                <w:b/>
                <w:bCs/>
                <w:sz w:val="18"/>
                <w:szCs w:val="18"/>
              </w:rPr>
              <w:t xml:space="preserve">The numbers</w:t>
            </w:r>
          </w:p>
        </w:tc>
        <w:tc>
          <w:tcPr>
            <w:tcW w:type="dxa" w:w="6800"/>
            <w:tcMar>
              <w:top w:type="dxa" w:w="40"/>
              <w:left w:type="dxa" w:w="80"/>
              <w:bottom w:type="dxa" w:w="40"/>
              <w:right w:type="dxa" w:w="80"/>
            </w:tcMar>
          </w:tcPr>
          <w:p>
            <w:r>
              <w:rPr>
                <w:sz w:val="18"/>
                <w:szCs w:val="18"/>
              </w:rPr>
              <w:t xml:space="preserve">Monthly enquiry counts by service line (even rough ones). This is what lets us report in instructions and fees rather than rankings.</w:t>
            </w:r>
          </w:p>
        </w:tc>
      </w:tr>
    </w:tbl>
    <w:p>
      <w:pPr>
        <w:spacing w:after="40"/>
      </w:pPr>
      <w:r>
        <w:rPr>
          <w:sz w:val="19"/>
          <w:szCs w:val="19"/>
        </w:rPr>
        <w:t xml:space="preserve"/>
      </w:r>
    </w:p>
    <w:p>
      <w:pPr>
        <w:pBdr>
          <w:bottom w:val="single" w:color="1F3864" w:sz="6"/>
        </w:pBdr>
        <w:spacing w:after="60" w:before="160"/>
      </w:pPr>
      <w:r>
        <w:rPr>
          <w:b/>
          <w:bCs/>
          <w:color w:val="1F3864"/>
          <w:sz w:val="24"/>
          <w:szCs w:val="24"/>
        </w:rPr>
        <w:t xml:space="preserve">What changes for Holly</w:t>
      </w:r>
    </w:p>
    <w:p>
      <w:pPr>
        <w:pStyle w:val="ListParagraph"/>
        <w:numPr>
          <w:ilvl w:val="0"/>
          <w:numId w:val="2"/>
        </w:numPr>
        <w:spacing w:after="40"/>
      </w:pPr>
      <w:r>
        <w:rPr>
          <w:b/>
          <w:bCs/>
          <w:sz w:val="19"/>
          <w:szCs w:val="19"/>
        </w:rPr>
        <w:t xml:space="preserve">Roughly 10 hours a week of SEO comes off her plate </w:t>
      </w:r>
      <w:r>
        <w:rPr>
          <w:sz w:val="19"/>
          <w:szCs w:val="19"/>
        </w:rPr>
        <w:t xml:space="preserve">— the keyword research, targeting decisions and Hike interpretation that are a specialist’s job, not a fair ask of someone running all of marketing.</w:t>
      </w:r>
    </w:p>
    <w:p>
      <w:pPr>
        <w:pStyle w:val="ListParagraph"/>
        <w:numPr>
          <w:ilvl w:val="0"/>
          <w:numId w:val="2"/>
        </w:numPr>
        <w:spacing w:after="40"/>
      </w:pPr>
      <w:r>
        <w:rPr>
          <w:sz w:val="19"/>
          <w:szCs w:val="19"/>
        </w:rPr>
        <w:t xml:space="preserve">She receives ready-made briefs — target phrase, page structure, internal links — and keeps full ownership of writing, publishing and social. Her involvement drops to 2–3 hours a week: gathering information, sign-offs, and pushing content live.</w:t>
      </w:r>
    </w:p>
    <w:p>
      <w:pPr>
        <w:pStyle w:val="ListParagraph"/>
        <w:numPr>
          <w:ilvl w:val="0"/>
          <w:numId w:val="2"/>
        </w:numPr>
        <w:spacing w:after="40"/>
      </w:pPr>
      <w:r>
        <w:rPr>
          <w:sz w:val="19"/>
          <w:szCs w:val="19"/>
        </w:rPr>
        <w:t xml:space="preserve">The attribution set-up is built for her as much as for us: when an enquiry becomes an instruction, the report shows which page produced it — visible proof of her impact, in fees rather than traffic.</w:t>
      </w:r>
    </w:p>
    <w:p>
      <w:pPr>
        <w:pStyle w:val="ListParagraph"/>
        <w:numPr>
          <w:ilvl w:val="0"/>
          <w:numId w:val="2"/>
        </w:numPr>
        <w:spacing w:after="40"/>
      </w:pPr>
      <w:r>
        <w:rPr>
          <w:sz w:val="19"/>
          <w:szCs w:val="19"/>
        </w:rPr>
        <w:t xml:space="preserve">Nothing she has built is discarded. The blog library is the asset that makes this plan work; we are re-aiming it, not replacing it.</w:t>
      </w:r>
    </w:p>
    <w:p>
      <w:pPr>
        <w:pBdr>
          <w:bottom w:val="single" w:color="1F3864" w:sz="6"/>
        </w:pBdr>
        <w:spacing w:after="60" w:before="160"/>
      </w:pPr>
      <w:r>
        <w:rPr>
          <w:b/>
          <w:bCs/>
          <w:color w:val="1F3864"/>
          <w:sz w:val="24"/>
          <w:szCs w:val="24"/>
        </w:rPr>
        <w:t xml:space="preserve">What it is worth (on your figures, not ours)</w:t>
      </w:r>
    </w:p>
    <w:p>
      <w:pPr>
        <w:spacing w:after="80"/>
      </w:pPr>
      <w:r>
        <w:rPr>
          <w:sz w:val="19"/>
          <w:szCs w:val="19"/>
        </w:rPr>
        <w:t xml:space="preserve">Every number below uses the fees and close rates Tim gave us — dilapidations instructions at £2,500–£8,000, expert witness against the £150k Southampton gap Tim has already quantified, commercial surveys at £2,500 average, party wall converting 1 enquiry in 2 at ~£1,350 per award. Residential work is excluded from the targets; anything it adds is upside.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600"/>
        <w:gridCol w:w="1900"/>
      </w:tblGrid>
      <w:tr>
        <w:tc>
          <w:tcPr>
            <w:tcW w:type="dxa" w:w="1500"/>
            <w:shd w:fill="1F3864" w:val="clear"/>
            <w:tcMar>
              <w:top w:type="dxa" w:w="40"/>
              <w:left w:type="dxa" w:w="80"/>
              <w:bottom w:type="dxa" w:w="40"/>
              <w:right w:type="dxa" w:w="80"/>
            </w:tcMar>
          </w:tcPr>
          <w:p>
            <w:r>
              <w:rPr>
                <w:b/>
                <w:bCs/>
                <w:color w:val="FFFFFF"/>
                <w:sz w:val="18"/>
                <w:szCs w:val="18"/>
              </w:rPr>
              <w:t xml:space="preserve">Scenario</w:t>
            </w:r>
          </w:p>
        </w:tc>
        <w:tc>
          <w:tcPr>
            <w:tcW w:type="dxa" w:w="5600"/>
            <w:shd w:fill="1F3864" w:val="clear"/>
            <w:tcMar>
              <w:top w:type="dxa" w:w="40"/>
              <w:left w:type="dxa" w:w="80"/>
              <w:bottom w:type="dxa" w:w="40"/>
              <w:right w:type="dxa" w:w="80"/>
            </w:tcMar>
          </w:tcPr>
          <w:p>
            <w:r>
              <w:rPr>
                <w:b/>
                <w:bCs/>
                <w:color w:val="FFFFFF"/>
                <w:sz w:val="18"/>
                <w:szCs w:val="18"/>
              </w:rPr>
              <w:t xml:space="preserve">What changes</w:t>
            </w:r>
          </w:p>
        </w:tc>
        <w:tc>
          <w:tcPr>
            <w:tcW w:type="dxa" w:w="1900"/>
            <w:shd w:fill="1F3864" w:val="clear"/>
            <w:tcMar>
              <w:top w:type="dxa" w:w="40"/>
              <w:left w:type="dxa" w:w="80"/>
              <w:bottom w:type="dxa" w:w="40"/>
              <w:right w:type="dxa" w:w="80"/>
            </w:tcMar>
          </w:tcPr>
          <w:p>
            <w:pPr>
              <w:jc w:val="right"/>
            </w:pPr>
            <w:r>
              <w:rPr>
                <w:b/>
                <w:bCs/>
                <w:color w:val="FFFFFF"/>
                <w:sz w:val="18"/>
                <w:szCs w:val="18"/>
              </w:rPr>
              <w:t xml:space="preserve">New revenue / year</w:t>
            </w:r>
          </w:p>
        </w:tc>
      </w:tr>
      <w:tr>
        <w:tc>
          <w:tcPr>
            <w:tcW w:type="dxa" w:w="1500"/>
            <w:tcMar>
              <w:top w:type="dxa" w:w="40"/>
              <w:left w:type="dxa" w:w="80"/>
              <w:bottom w:type="dxa" w:w="40"/>
              <w:right w:type="dxa" w:w="80"/>
            </w:tcMar>
          </w:tcPr>
          <w:p>
            <w:r>
              <w:rPr>
                <w:b/>
                <w:bCs/>
                <w:sz w:val="18"/>
                <w:szCs w:val="18"/>
              </w:rPr>
              <w:t xml:space="preserve">Conservative</w:t>
            </w:r>
          </w:p>
        </w:tc>
        <w:tc>
          <w:tcPr>
            <w:tcW w:type="dxa" w:w="5600"/>
            <w:tcMar>
              <w:top w:type="dxa" w:w="40"/>
              <w:left w:type="dxa" w:w="80"/>
              <w:bottom w:type="dxa" w:w="40"/>
              <w:right w:type="dxa" w:w="80"/>
            </w:tcMar>
          </w:tcPr>
          <w:p>
            <w:r>
              <w:rPr>
                <w:b w:val="false"/>
                <w:bCs w:val="false"/>
                <w:sz w:val="18"/>
                <w:szCs w:val="18"/>
              </w:rPr>
              <w:t xml:space="preserve">1 dilapidations instruction a quarter; 1 commercial survey a quarter; a tenth of the expert witness gap; +2 party wall enquiries a month</w:t>
            </w:r>
          </w:p>
        </w:tc>
        <w:tc>
          <w:tcPr>
            <w:tcW w:type="dxa" w:w="1900"/>
            <w:tcMar>
              <w:top w:type="dxa" w:w="40"/>
              <w:left w:type="dxa" w:w="80"/>
              <w:bottom w:type="dxa" w:w="40"/>
              <w:right w:type="dxa" w:w="80"/>
            </w:tcMar>
          </w:tcPr>
          <w:p>
            <w:pPr>
              <w:jc w:val="right"/>
            </w:pPr>
            <w:r>
              <w:rPr>
                <w:b/>
                <w:bCs/>
                <w:sz w:val="18"/>
                <w:szCs w:val="18"/>
              </w:rPr>
              <w:t xml:space="preserve">~£53k</w:t>
            </w:r>
          </w:p>
        </w:tc>
      </w:tr>
      <w:tr>
        <w:tc>
          <w:tcPr>
            <w:tcW w:type="dxa" w:w="1500"/>
            <w:tcMar>
              <w:top w:type="dxa" w:w="40"/>
              <w:left w:type="dxa" w:w="80"/>
              <w:bottom w:type="dxa" w:w="40"/>
              <w:right w:type="dxa" w:w="80"/>
            </w:tcMar>
          </w:tcPr>
          <w:p>
            <w:r>
              <w:rPr>
                <w:b/>
                <w:bCs/>
                <w:sz w:val="18"/>
                <w:szCs w:val="18"/>
              </w:rPr>
              <w:t xml:space="preserve">Realistic</w:t>
            </w:r>
          </w:p>
        </w:tc>
        <w:tc>
          <w:tcPr>
            <w:tcW w:type="dxa" w:w="5600"/>
            <w:tcMar>
              <w:top w:type="dxa" w:w="40"/>
              <w:left w:type="dxa" w:w="80"/>
              <w:bottom w:type="dxa" w:w="40"/>
              <w:right w:type="dxa" w:w="80"/>
            </w:tcMar>
          </w:tcPr>
          <w:p>
            <w:r>
              <w:rPr>
                <w:b w:val="false"/>
                <w:bCs w:val="false"/>
                <w:sz w:val="18"/>
                <w:szCs w:val="18"/>
              </w:rPr>
              <w:t xml:space="preserve">~1 London dilapidations instruction a month; ~1 commercial survey a month; a quarter of the expert witness gap; +4 party wall enquiries a month</w:t>
            </w:r>
          </w:p>
        </w:tc>
        <w:tc>
          <w:tcPr>
            <w:tcW w:type="dxa" w:w="1900"/>
            <w:tcMar>
              <w:top w:type="dxa" w:w="40"/>
              <w:left w:type="dxa" w:w="80"/>
              <w:bottom w:type="dxa" w:w="40"/>
              <w:right w:type="dxa" w:w="80"/>
            </w:tcMar>
          </w:tcPr>
          <w:p>
            <w:pPr>
              <w:jc w:val="right"/>
            </w:pPr>
            <w:r>
              <w:rPr>
                <w:b/>
                <w:bCs/>
                <w:sz w:val="18"/>
                <w:szCs w:val="18"/>
              </w:rPr>
              <w:t xml:space="preserve">~£128k</w:t>
            </w:r>
          </w:p>
        </w:tc>
      </w:tr>
      <w:tr>
        <w:tc>
          <w:tcPr>
            <w:tcW w:type="dxa" w:w="1500"/>
            <w:tcMar>
              <w:top w:type="dxa" w:w="40"/>
              <w:left w:type="dxa" w:w="80"/>
              <w:bottom w:type="dxa" w:w="40"/>
              <w:right w:type="dxa" w:w="80"/>
            </w:tcMar>
          </w:tcPr>
          <w:p>
            <w:r>
              <w:rPr>
                <w:b/>
                <w:bCs/>
                <w:sz w:val="18"/>
                <w:szCs w:val="18"/>
              </w:rPr>
              <w:t xml:space="preserve">Stretch</w:t>
            </w:r>
          </w:p>
        </w:tc>
        <w:tc>
          <w:tcPr>
            <w:tcW w:type="dxa" w:w="5600"/>
            <w:tcMar>
              <w:top w:type="dxa" w:w="40"/>
              <w:left w:type="dxa" w:w="80"/>
              <w:bottom w:type="dxa" w:w="40"/>
              <w:right w:type="dxa" w:w="80"/>
            </w:tcMar>
          </w:tcPr>
          <w:p>
            <w:r>
              <w:rPr>
                <w:b w:val="false"/>
                <w:bCs w:val="false"/>
                <w:sz w:val="18"/>
                <w:szCs w:val="18"/>
              </w:rPr>
              <w:t xml:space="preserve">2 dilapidations instructions a month by month 12; half the expert witness gap; ~15 commercial surveys; +6 party wall enquiries a month</w:t>
            </w:r>
          </w:p>
        </w:tc>
        <w:tc>
          <w:tcPr>
            <w:tcW w:type="dxa" w:w="1900"/>
            <w:tcMar>
              <w:top w:type="dxa" w:w="40"/>
              <w:left w:type="dxa" w:w="80"/>
              <w:bottom w:type="dxa" w:w="40"/>
              <w:right w:type="dxa" w:w="80"/>
            </w:tcMar>
          </w:tcPr>
          <w:p>
            <w:pPr>
              <w:jc w:val="right"/>
            </w:pPr>
            <w:r>
              <w:rPr>
                <w:b/>
                <w:bCs/>
                <w:sz w:val="18"/>
                <w:szCs w:val="18"/>
              </w:rPr>
              <w:t xml:space="preserve">~£225k</w:t>
            </w:r>
          </w:p>
        </w:tc>
      </w:tr>
    </w:tbl>
    <w:p>
      <w:pPr>
        <w:spacing w:after="40"/>
      </w:pPr>
      <w:r>
        <w:rPr>
          <w:sz w:val="19"/>
          <w:szCs w:val="19"/>
        </w:rPr>
        <w:t xml:space="preserve"/>
      </w:r>
    </w:p>
    <w:p>
      <w:pPr>
        <w:spacing w:after="0"/>
      </w:pPr>
      <w:r>
        <w:rPr>
          <w:color w:val="595959"/>
          <w:sz w:val="19"/>
          <w:szCs w:val="19"/>
        </w:rPr>
        <w:t xml:space="preserve">Two honest notes. First, on capacity and margin: the realistic case is sized to fit within the existing team — the expert witness opportunity in particular is one individual's caseload. Work the team absorbs without hiring only costs the time spent delivering it, so each extra instruction keeps far more than the firm's overall 20% — the rent and salaries are already paid. The stretch case is the point where a hire enters the picture, and that decision would be made from the day-90 evidence, not in advance. Second, these are year-one figures while the pages climb; the same pages keep producing in year two without being rebuilt — this is an asset build, not a spend.</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2026-09-04T11:22:32.394Z</dcterms:created>
  <dcterms:modified xsi:type="dcterms:W3CDTF">2026-09-04T11:22:32.403Z</dcterms:modified>
</cp:coreProperties>
</file>

<file path=docProps/custom.xml><?xml version="1.0" encoding="utf-8"?>
<Properties xmlns="http://schemas.openxmlformats.org/officeDocument/2006/custom-properties" xmlns:vt="http://schemas.openxmlformats.org/officeDocument/2006/docPropsVTypes"/>
</file>