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.png" ContentType="image/png"/>
  <Override PartName="/word/media/rId19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business-central-tentixo-playbook"/>
    <w:p>
      <w:pPr>
        <w:pStyle w:val="Heading1"/>
      </w:pPr>
      <w:r>
        <w:t xml:space="preserve">Business Central — Tentixo Playbook</w: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: 1.0</w:t>
      </w:r>
      <w:r>
        <w:t xml:space="preserve"> </w:t>
      </w:r>
      <w:r>
        <w:rPr>
          <w:b/>
          <w:bCs/>
        </w:rPr>
        <w:t xml:space="preserve">Status</w:t>
      </w:r>
      <w:r>
        <w:t xml:space="preserve">: Active</w:t>
      </w:r>
      <w:r>
        <w:t xml:space="preserve"> </w:t>
      </w:r>
      <w:r>
        <w:rPr>
          <w:b/>
          <w:bCs/>
        </w:rPr>
        <w:t xml:space="preserve">Created</w:t>
      </w:r>
      <w:r>
        <w:t xml:space="preserve">: 2026-05-26</w:t>
      </w:r>
      <w:r>
        <w:t xml:space="preserve"> </w:t>
      </w:r>
      <w:r>
        <w:rPr>
          <w:b/>
          <w:bCs/>
        </w:rPr>
        <w:t xml:space="preserve">Updated</w:t>
      </w:r>
      <w:r>
        <w:t xml:space="preserve">: 2026-06-04</w:t>
      </w:r>
      <w:r>
        <w:t xml:space="preserve"> </w:t>
      </w:r>
      <w:r>
        <w:rPr>
          <w:b/>
          <w:bCs/>
        </w:rPr>
        <w:t xml:space="preserve">Scope</w:t>
      </w:r>
      <w:r>
        <w:t xml:space="preserve">: BC knowledge capture — architecture, operations, bookkeeping, client status</w:t>
      </w:r>
    </w:p>
    <w:p>
      <w:pPr>
        <w:pStyle w:val="BlockText"/>
      </w:pPr>
      <w:r>
        <w:t xml:space="preserve">Living document. Captures what Chris has learned about BC from Morre, current client setups,</w:t>
      </w:r>
      <w:r>
        <w:t xml:space="preserve"> </w:t>
      </w:r>
      <w:r>
        <w:t xml:space="preserve">and conventions to follow when working with Claude Code on BC-related tasks.</w:t>
      </w:r>
    </w:p>
    <w:p>
      <w:r>
        <w:pict>
          <v:rect style="width:0;height:1.5pt" o:hralign="center" o:hrstd="t" o:hr="t"/>
        </w:pict>
      </w:r>
    </w:p>
    <w:bookmarkStart w:id="9" w:name="context"/>
    <w:p>
      <w:pPr>
        <w:pStyle w:val="Heading2"/>
      </w:pPr>
      <w:r>
        <w:t xml:space="preserve">1. Context</w:t>
      </w:r>
    </w:p>
    <w:p>
      <w:pPr>
        <w:pStyle w:val="FirstParagraph"/>
      </w:pPr>
      <w:r>
        <w:rPr>
          <w:b/>
          <w:bCs/>
        </w:rPr>
        <w:t xml:space="preserve">Me</w:t>
      </w:r>
      <w:r>
        <w:t xml:space="preserve">: Chris Mansson, Client Director at Tentixo (Stockholm-based boutique Nordic cybersecurity + ERP advisory firm).</w:t>
      </w:r>
    </w:p>
    <w:p>
      <w:pPr>
        <w:pStyle w:val="BodyText"/>
      </w:pPr>
      <w:r>
        <w:rPr>
          <w:b/>
          <w:bCs/>
        </w:rPr>
        <w:t xml:space="preserve">Co-founder &amp; technical lead</w:t>
      </w:r>
      <w:r>
        <w:t xml:space="preserve">: Lars Mårelius (</w:t>
      </w:r>
      <w:r>
        <w:t xml:space="preserve">“Morre”</w:t>
      </w:r>
      <w:r>
        <w:t xml:space="preserve">). He’s the deep BC operator and architect. He teaches Socratically — drills the architecture before the UI — and is strongly opinionated about doing things the</w:t>
      </w:r>
      <w:r>
        <w:t xml:space="preserve"> </w:t>
      </w:r>
      <w:r>
        <w:t xml:space="preserve">“right”</w:t>
      </w:r>
      <w:r>
        <w:t xml:space="preserve"> </w:t>
      </w:r>
      <w:r>
        <w:t xml:space="preserve">way the first time rather than patching later.</w:t>
      </w:r>
    </w:p>
    <w:p>
      <w:pPr>
        <w:pStyle w:val="BodyText"/>
      </w:pPr>
      <w:r>
        <w:rPr>
          <w:b/>
          <w:bCs/>
        </w:rPr>
        <w:t xml:space="preserve">My BC level</w:t>
      </w:r>
      <w:r>
        <w:t xml:space="preserve">: Learning. Strong on commercial/strategic framing, conceptually solid on architecture, weak on UI muscle memory and edge cases.</w:t>
      </w:r>
    </w:p>
    <w:p>
      <w:pPr>
        <w:pStyle w:val="BodyText"/>
      </w:pPr>
      <w:r>
        <w:rPr>
          <w:b/>
          <w:bCs/>
        </w:rPr>
        <w:t xml:space="preserve">Active BC engagements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Tinky Minds Lab AB</w:t>
      </w:r>
      <w:r>
        <w:t xml:space="preserve"> </w:t>
      </w:r>
      <w:r>
        <w:t xml:space="preserve">— first practical setup. 18,000 SEK Heat Map engagement (incl. 2 workshops). Used as a real-world exercise to learn the full customer→project→invoice flow in Tentixo’s sandbox.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Formpipe</w:t>
      </w:r>
      <w:r>
        <w:t xml:space="preserve"> </w:t>
      </w:r>
      <w:r>
        <w:t xml:space="preserve">— newly signed BC-support contract. Spinning up a new Microsoft tenant in October 2026. Engagement scope: optimise finance operations and evaluate which third-party integrations (TimeLog, Younium, Rillion, etc.) can be replaced by BC-native functionality.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Lasernet</w:t>
      </w:r>
      <w:r>
        <w:t xml:space="preserve"> </w:t>
      </w:r>
      <w:r>
        <w:t xml:space="preserve">— ongoing BC governance programme (separate engagement, less active for me personally).</w:t>
      </w:r>
    </w:p>
    <w:p>
      <w:r>
        <w:pict>
          <v:rect style="width:0;height:1.5pt" o:hralign="center" o:hrstd="t" o:hr="t"/>
        </w:pict>
      </w:r>
    </w:p>
    <w:bookmarkEnd w:id="9"/>
    <w:bookmarkStart w:id="10" w:name="how-morre-teaches-working-conventions"/>
    <w:p>
      <w:pPr>
        <w:pStyle w:val="Heading2"/>
      </w:pPr>
      <w:r>
        <w:t xml:space="preserve">2. How Morre teaches (working conventions)</w:t>
      </w:r>
    </w:p>
    <w:p>
      <w:pPr>
        <w:pStyle w:val="FirstParagraph"/>
      </w:pPr>
      <w:r>
        <w:t xml:space="preserve">When I’m getting help on BC tasks, default to these patterns — they match how Morre frames things: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Architecture before UI.</w:t>
      </w:r>
      <w:r>
        <w:t xml:space="preserve"> </w:t>
      </w:r>
      <w:r>
        <w:t xml:space="preserve">Always orient on which layer of the hierarchy you’re touching (see §3) before walking through buttons and field names.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Think before you do.</w:t>
      </w:r>
      <w:r>
        <w:t xml:space="preserve"> </w:t>
      </w:r>
      <w:r>
        <w:t xml:space="preserve">For each step, name the decision being made and surface trade-offs explicitly rather than picking the obvious default silently.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Posting groups are the magic.</w:t>
      </w:r>
      <w:r>
        <w:t xml:space="preserve"> </w:t>
      </w:r>
      <w:r>
        <w:t xml:space="preserve">Most</w:t>
      </w:r>
      <w:r>
        <w:t xml:space="preserve"> </w:t>
      </w:r>
      <w:r>
        <w:t xml:space="preserve">“how do I make BC do X”</w:t>
      </w:r>
      <w:r>
        <w:t xml:space="preserve"> </w:t>
      </w:r>
      <w:r>
        <w:t xml:space="preserve">answers route through posting group setup, not workflow customisation.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Pricing belongs in price lists, not items.</w:t>
      </w:r>
      <w:r>
        <w:t xml:space="preserve"> </w:t>
      </w:r>
      <w:r>
        <w:t xml:space="preserve">Item Unit Price should usually be 0 (or a reference catalogue price). Customer-specific or project-specific prices override via price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Resources =</w:t>
      </w:r>
      <w:r>
        <w:rPr>
          <w:b/>
          <w:bCs/>
        </w:rPr>
        <w:t xml:space="preserve"> </w:t>
      </w:r>
      <w:r>
        <w:rPr>
          <w:b/>
          <w:bCs/>
        </w:rPr>
        <w:t xml:space="preserve">“we sell you”</w:t>
      </w:r>
      <w:r>
        <w:rPr>
          <w:b/>
          <w:bCs/>
        </w:rPr>
        <w:t xml:space="preserve">. Employees =</w:t>
      </w:r>
      <w:r>
        <w:rPr>
          <w:b/>
          <w:bCs/>
        </w:rPr>
        <w:t xml:space="preserve"> </w:t>
      </w:r>
      <w:r>
        <w:rPr>
          <w:b/>
          <w:bCs/>
        </w:rPr>
        <w:t xml:space="preserve">“you work for us”</w:t>
      </w:r>
      <w:r>
        <w:rPr>
          <w:b/>
          <w:bCs/>
        </w:rPr>
        <w:t xml:space="preserve">.</w:t>
      </w:r>
      <w:r>
        <w:t xml:space="preserve"> </w:t>
      </w:r>
      <w:r>
        <w:t xml:space="preserve">Separate records, both needed for people-driven engagements.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Service-type Items, not Inventory.</w:t>
      </w:r>
      <w:r>
        <w:t xml:space="preserve"> </w:t>
      </w:r>
      <w:r>
        <w:t xml:space="preserve">Inventory type triggers stock tracking, negative inventory traps, valuation noise — wrong for consulting.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Transaction-based, not database-based.</w:t>
      </w:r>
      <w:r>
        <w:t xml:space="preserve"> </w:t>
      </w:r>
      <w:r>
        <w:t xml:space="preserve">BC’s strength vs systems like TimeLog: posted entries stay in the ledger. Reversals create audit trail. Avoid any pattern that suggests</w:t>
      </w:r>
      <w:r>
        <w:t xml:space="preserve"> </w:t>
      </w:r>
      <w:r>
        <w:t xml:space="preserve">“just edit the value.”</w:t>
      </w:r>
    </w:p>
    <w:p>
      <w:r>
        <w:pict>
          <v:rect style="width:0;height:1.5pt" o:hralign="center" o:hrstd="t" o:hr="t"/>
        </w:pict>
      </w:r>
    </w:p>
    <w:bookmarkEnd w:id="10"/>
    <w:bookmarkStart w:id="45" w:name="core-architectural-model"/>
    <w:p>
      <w:pPr>
        <w:pStyle w:val="Heading2"/>
      </w:pPr>
      <w:r>
        <w:t xml:space="preserve">3. Core architectural model</w:t>
      </w:r>
    </w:p>
    <w:bookmarkStart w:id="14" w:name="the-layered-hierarchy"/>
    <w:p>
      <w:pPr>
        <w:pStyle w:val="Heading3"/>
      </w:pPr>
      <w:r>
        <w:t xml:space="preserve">3.1 The layered hierarchy</w:t>
      </w:r>
    </w:p>
    <w:p>
      <w:pPr>
        <w:pStyle w:val="FirstParagraph"/>
      </w:pPr>
      <w:r>
        <w:t xml:space="preserve">Every layer depends on the one below. Get a lower layer wrong → everything above breaks.</w:t>
      </w:r>
    </w:p>
    <w:p>
      <w:pPr>
        <w:pStyle w:val="CaptionedFigure"/>
      </w:pPr>
      <w:r>
        <w:drawing>
          <wp:inline>
            <wp:extent cx="3035300" cy="11150600"/>
            <wp:effectExtent b="0" l="0" r="0" t="0"/>
            <wp:docPr descr="Diagram 1" title="" id="12" name="Picture"/>
            <a:graphic>
              <a:graphicData uri="http://schemas.openxmlformats.org/drawingml/2006/picture">
                <pic:pic>
                  <pic:nvPicPr>
                    <pic:cNvPr descr="ai/docs/diagrams/diagram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300" cy="1115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</w:t>
      </w:r>
    </w:p>
    <w:p>
      <w:pPr>
        <w:pStyle w:val="BodyText"/>
      </w:pPr>
      <w:r>
        <w:rPr>
          <w:b/>
          <w:bCs/>
        </w:rPr>
        <w:t xml:space="preserve">Five</w:t>
      </w:r>
      <w:r>
        <w:rPr>
          <w:b/>
          <w:bCs/>
        </w:rPr>
        <w:t xml:space="preserve"> </w:t>
      </w:r>
      <w:r>
        <w:rPr>
          <w:b/>
          <w:bCs/>
        </w:rPr>
        <w:t xml:space="preserve">“people”</w:t>
      </w:r>
      <w:r>
        <w:rPr>
          <w:b/>
          <w:bCs/>
        </w:rPr>
        <w:t xml:space="preserve"> </w:t>
      </w:r>
      <w:r>
        <w:rPr>
          <w:b/>
          <w:bCs/>
        </w:rPr>
        <w:t xml:space="preserve">registers in BC</w:t>
      </w:r>
      <w:r>
        <w:t xml:space="preserve"> </w:t>
      </w:r>
      <w:r>
        <w:t xml:space="preserve">— the same person can appear in multiple registers, each serving a different purpose: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07"/>
        <w:gridCol w:w="3306"/>
        <w:gridCol w:w="33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Register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</w:t>
            </w:r>
          </w:p>
        </w:tc>
        <w:tc>
          <w:tcPr/>
          <w:p>
            <w:pPr>
              <w:pStyle w:val="Compact"/>
            </w:pPr>
            <w:r>
              <w:t xml:space="preserve">“You work for us”</w:t>
            </w:r>
            <w:r>
              <w:t xml:space="preserve"> </w:t>
            </w:r>
            <w:r>
              <w:t xml:space="preserve">— payroll, HR</w:t>
            </w:r>
          </w:p>
        </w:tc>
        <w:tc>
          <w:tcPr/>
          <w:p>
            <w:pPr>
              <w:pStyle w:val="Compact"/>
            </w:pPr>
            <w:r>
              <w:t xml:space="preserve">Payroll, employment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“We sell you”</w:t>
            </w:r>
            <w:r>
              <w:t xml:space="preserve"> </w:t>
            </w:r>
            <w:r>
              <w:t xml:space="preserve">— billable rates</w:t>
            </w:r>
          </w:p>
        </w:tc>
        <w:tc>
          <w:tcPr/>
          <w:p>
            <w:pPr>
              <w:pStyle w:val="Compact"/>
            </w:pPr>
            <w:r>
              <w:t xml:space="preserve">Project Journal lines, time sheets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CRM — relationships, interactions</w:t>
            </w:r>
          </w:p>
        </w:tc>
        <w:tc>
          <w:tcPr/>
          <w:p>
            <w:pPr>
              <w:pStyle w:val="Compact"/>
            </w:pPr>
            <w:r>
              <w:t xml:space="preserve">Person Responsible on Project 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System login — controls who can post</w:t>
            </w:r>
          </w:p>
        </w:tc>
        <w:tc>
          <w:tcPr/>
          <w:p>
            <w:pPr>
              <w:pStyle w:val="Compact"/>
            </w:pPr>
            <w:r>
              <w:t xml:space="preserve">Project Manager, posting restrictions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Customer/Vendor</w:t>
            </w:r>
          </w:p>
        </w:tc>
        <w:tc>
          <w:tcPr/>
          <w:p>
            <w:pPr>
              <w:pStyle w:val="Compact"/>
            </w:pPr>
            <w:r>
              <w:t xml:space="preserve">Business entity</w:t>
            </w:r>
          </w:p>
        </w:tc>
        <w:tc>
          <w:tcPr/>
          <w:p>
            <w:pPr>
              <w:pStyle w:val="Compact"/>
            </w:pPr>
            <w:r>
              <w:t xml:space="preserve">Invoicing, AP/AR</w:t>
            </w:r>
          </w:p>
        </w:tc>
      </w:tr>
    </w:tbl>
    <w:p>
      <w:pPr>
        <w:pStyle w:val="BodyText"/>
      </w:pPr>
      <w:r>
        <w:rPr>
          <w:i/>
          <w:iCs/>
        </w:rPr>
        <w:t xml:space="preserve">Person Responsible on the project card pulls from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Contacts</w:t>
      </w:r>
      <w:r>
        <w:rPr>
          <w:i/>
          <w:iCs/>
        </w:rPr>
        <w:t xml:space="preserve">. Project Manager pulls from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Users</w:t>
      </w:r>
      <w:r>
        <w:rPr>
          <w:i/>
          <w:iCs/>
        </w:rPr>
        <w:t xml:space="preserve"> </w:t>
      </w:r>
      <w:r>
        <w:rPr>
          <w:i/>
          <w:iCs/>
        </w:rPr>
        <w:t xml:space="preserve">(or Employee/Resource — check which register the field draws from).</w:t>
      </w:r>
    </w:p>
    <w:bookmarkEnd w:id="14"/>
    <w:bookmarkStart w:id="15" w:name="gvh-framework-goods-virtual-human"/>
    <w:p>
      <w:pPr>
        <w:pStyle w:val="Heading3"/>
      </w:pPr>
      <w:r>
        <w:t xml:space="preserve">3.2 GVH framework (Goods / Virtual / Human)</w:t>
      </w:r>
    </w:p>
    <w:p>
      <w:pPr>
        <w:pStyle w:val="FirstParagraph"/>
      </w:pPr>
      <w:r>
        <w:t xml:space="preserve">Tentixo’s chart of accounts is organised around three sales categories. The CoA’s intent is to expose</w:t>
      </w:r>
      <w:r>
        <w:t xml:space="preserve"> </w:t>
      </w:r>
      <w:r>
        <w:rPr>
          <w:b/>
          <w:bCs/>
        </w:rPr>
        <w:t xml:space="preserve">cost structure</w:t>
      </w:r>
      <w:r>
        <w:t xml:space="preserve">, not just categorise the deliverable.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9"/>
        <w:gridCol w:w="976"/>
        <w:gridCol w:w="2603"/>
        <w:gridCol w:w="35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Cost driver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30xx</w:t>
            </w:r>
          </w:p>
        </w:tc>
        <w:tc>
          <w:tcPr/>
          <w:p>
            <w:pPr>
              <w:pStyle w:val="Compact"/>
            </w:pPr>
            <w:r>
              <w:t xml:space="preserve">Goods</w:t>
            </w:r>
          </w:p>
        </w:tc>
        <w:tc>
          <w:tcPr/>
          <w:p>
            <w:pPr>
              <w:pStyle w:val="Compact"/>
            </w:pPr>
            <w:r>
              <w:t xml:space="preserve">Physical, shipping</w:t>
            </w:r>
          </w:p>
        </w:tc>
        <w:tc>
          <w:tcPr/>
          <w:p>
            <w:pPr>
              <w:pStyle w:val="Compact"/>
            </w:pPr>
            <w:r>
              <w:t xml:space="preserve">Hardware resale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31xx</w:t>
            </w:r>
          </w:p>
        </w:tc>
        <w:tc>
          <w:tcPr/>
          <w:p>
            <w:pPr>
              <w:pStyle w:val="Compact"/>
            </w:pPr>
            <w:r>
              <w:t xml:space="preserve">Virtual</w:t>
            </w:r>
          </w:p>
        </w:tc>
        <w:tc>
          <w:tcPr/>
          <w:p>
            <w:pPr>
              <w:pStyle w:val="Compact"/>
            </w:pPr>
            <w:r>
              <w:t xml:space="preserve">Low marginal, self-serve</w:t>
            </w:r>
          </w:p>
        </w:tc>
        <w:tc>
          <w:tcPr/>
          <w:p>
            <w:pPr>
              <w:pStyle w:val="Compact"/>
            </w:pPr>
            <w:r>
              <w:t xml:space="preserve">Licenses, electronic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32xx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Employees, HR</w:t>
            </w:r>
          </w:p>
        </w:tc>
        <w:tc>
          <w:tcPr/>
          <w:p>
            <w:pPr>
              <w:pStyle w:val="Compact"/>
            </w:pPr>
            <w:r>
              <w:t xml:space="preserve">Consulting, advisory</w:t>
            </w:r>
          </w:p>
        </w:tc>
      </w:tr>
    </w:tbl>
    <w:p>
      <w:pPr>
        <w:pStyle w:val="BodyText"/>
      </w:pPr>
      <w:r>
        <w:rPr>
          <w:b/>
          <w:bCs/>
        </w:rPr>
        <w:t xml:space="preserve">Litmus test</w:t>
      </w:r>
      <w:r>
        <w:t xml:space="preserve">: if we remove humans, can we still deliver? If no → Human, regardless of pricing model.</w:t>
      </w:r>
      <w:r>
        <w:t xml:space="preserve"> </w:t>
      </w:r>
      <w:r>
        <w:rPr>
          <w:i/>
          <w:iCs/>
        </w:rPr>
        <w:t xml:space="preserve">Heat Map is Human (Consulting) — fixed price doesn’t override delivery reality.</w:t>
      </w:r>
    </w:p>
    <w:p>
      <w:pPr>
        <w:pStyle w:val="BodyText"/>
      </w:pPr>
      <w:r>
        <w:rPr>
          <w:b/>
          <w:bCs/>
        </w:rPr>
        <w:t xml:space="preserve">CoA intent = cost structure, not product type.</w:t>
      </w:r>
      <w:r>
        <w:t xml:space="preserve"> </w:t>
      </w:r>
      <w:r>
        <w:t xml:space="preserve">A Virtual item (e.g., a fixed-price package) can land on a Human/Consulting account (32xx) if it’s human-bound — because the chart of accounts exposes</w:t>
      </w:r>
      <w:r>
        <w:t xml:space="preserve"> </w:t>
      </w:r>
      <w:r>
        <w:rPr>
          <w:i/>
          <w:iCs/>
        </w:rPr>
        <w:t xml:space="preserve">what costs the company carries</w:t>
      </w:r>
      <w:r>
        <w:t xml:space="preserve"> </w:t>
      </w:r>
      <w:r>
        <w:t xml:space="preserve">(employees, HR, shipping), not what the deliverable looks like. This is the conversation you need to have with every client and they never have time for.</w:t>
      </w:r>
    </w:p>
    <w:p>
      <w:pPr>
        <w:pStyle w:val="BodyText"/>
      </w:pPr>
      <w:r>
        <w:rPr>
          <w:b/>
          <w:bCs/>
        </w:rPr>
        <w:t xml:space="preserve">VAT subcategory — Electronic Service</w:t>
      </w:r>
      <w:r>
        <w:t xml:space="preserve">: Within Virtual, there’s a VAT-significant distinction. A license downloaded from a website = electronic service (specific VAT rules for cross-border EU). Same license shipped on a CD-ROM = still Virtual, but not electronic service. Reactive support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be electronic service if minimal human involvement; heavy support is just</w:t>
      </w:r>
      <w:r>
        <w:t xml:space="preserve"> </w:t>
      </w:r>
      <w:r>
        <w:t xml:space="preserve">“service.”</w:t>
      </w:r>
      <w:r>
        <w:t xml:space="preserve"> </w:t>
      </w:r>
      <w:r>
        <w:t xml:space="preserve">The VAT Prod. Posting Group handles this (separate rows in the VAT Posting Setup for SERVICE vs ELECTRONIC SERVICE).</w:t>
      </w:r>
    </w:p>
    <w:bookmarkEnd w:id="15"/>
    <w:bookmarkStart w:id="22" w:name="bc-module-map"/>
    <w:p>
      <w:pPr>
        <w:pStyle w:val="Heading3"/>
      </w:pPr>
      <w:r>
        <w:t xml:space="preserve">3.3 BC module map</w:t>
      </w:r>
    </w:p>
    <w:p>
      <w:pPr>
        <w:pStyle w:val="FirstParagraph"/>
      </w:pPr>
      <w:r>
        <w:rPr>
          <w:i/>
          <w:iCs/>
        </w:rPr>
        <w:t xml:space="preserve">(diagram: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ai/docs/BC_CentralParts-chris.png</w:t>
      </w:r>
      <w:r>
        <w:rPr>
          <w:i/>
          <w:iCs/>
        </w:rPr>
        <w:t xml:space="preserve">)</w:t>
      </w:r>
    </w:p>
    <w:p>
      <w:pPr>
        <w:pStyle w:val="CaptionedFigure"/>
      </w:pPr>
      <w:r>
        <w:drawing>
          <wp:inline>
            <wp:extent cx="5334000" cy="12725484"/>
            <wp:effectExtent b="0" l="0" r="0" t="0"/>
            <wp:docPr descr="Diagram 2" title="" id="17" name="Picture"/>
            <a:graphic>
              <a:graphicData uri="http://schemas.openxmlformats.org/drawingml/2006/picture">
                <pic:pic>
                  <pic:nvPicPr>
                    <pic:cNvPr descr="ai/docs/diagrams/diagram-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25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2</w:t>
      </w:r>
    </w:p>
    <w:p>
      <w:pPr>
        <w:pStyle w:val="BodyText"/>
      </w:pPr>
      <w:r>
        <w:rPr>
          <w:b/>
          <w:bCs/>
        </w:rPr>
        <w:t xml:space="preserve">Document lifecycle</w:t>
      </w:r>
      <w:r>
        <w:t xml:space="preserve">:</w:t>
      </w:r>
    </w:p>
    <w:p>
      <w:pPr>
        <w:pStyle w:val="CaptionedFigure"/>
      </w:pPr>
      <w:r>
        <w:drawing>
          <wp:inline>
            <wp:extent cx="5334000" cy="3963798"/>
            <wp:effectExtent b="0" l="0" r="0" t="0"/>
            <wp:docPr descr="Diagram 3" title="" id="20" name="Picture"/>
            <a:graphic>
              <a:graphicData uri="http://schemas.openxmlformats.org/drawingml/2006/picture">
                <pic:pic>
                  <pic:nvPicPr>
                    <pic:cNvPr descr="ai/docs/diagrams/diagram-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3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3</w:t>
      </w:r>
    </w:p>
    <w:p>
      <w:pPr>
        <w:pStyle w:val="BodyText"/>
      </w:pPr>
      <w:r>
        <w:rPr>
          <w:b/>
          <w:bCs/>
        </w:rPr>
        <w:t xml:space="preserve">Contact is the root of</w:t>
      </w:r>
      <w:r>
        <w:rPr>
          <w:b/>
          <w:bCs/>
        </w:rPr>
        <w:t xml:space="preserve"> </w:t>
      </w:r>
      <w:r>
        <w:rPr>
          <w:b/>
          <w:bCs/>
        </w:rPr>
        <w:t xml:space="preserve">“people”</w:t>
      </w:r>
      <w:r>
        <w:t xml:space="preserve">: Contact → branches into Customer, Vendor, Employee, Resource. A single contact can spawn multiple entity types.</w:t>
      </w:r>
    </w:p>
    <w:bookmarkEnd w:id="22"/>
    <w:bookmarkStart w:id="23" w:name="the-who-what-posting-matrix"/>
    <w:p>
      <w:pPr>
        <w:pStyle w:val="Heading3"/>
      </w:pPr>
      <w:r>
        <w:t xml:space="preserve">3.4 The WHO × WHAT posting matrix</w:t>
      </w:r>
    </w:p>
    <w:p>
      <w:pPr>
        <w:pStyle w:val="FirstParagraph"/>
      </w:pPr>
      <w:r>
        <w:t xml:space="preserve">BC’s core elegance — and the lens Morre uses to evaluate every implementation: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Business Posting Group</w:t>
      </w:r>
      <w:r>
        <w:t xml:space="preserve"> </w:t>
      </w:r>
      <w:r>
        <w:t xml:space="preserve">on the Customer = WHO we sell to (EXT, NATIONAL, INTERCO)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Product Posting Group</w:t>
      </w:r>
      <w:r>
        <w:t xml:space="preserve"> </w:t>
      </w:r>
      <w:r>
        <w:t xml:space="preserve">on the Item/Resource = WHAT we sell (CONSULTING1/2/3, SERVICES, GOODS)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General Posting Setup</w:t>
      </w:r>
      <w:r>
        <w:t xml:space="preserve"> </w:t>
      </w:r>
      <w:r>
        <w:t xml:space="preserve">= the matrix that maps every (WHO, WHAT) combination to a specific G/L revenue account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Same logic for VAT</w:t>
      </w:r>
      <w:r>
        <w:t xml:space="preserve">: VAT Bus × VAT Prod → correct moms rate + accounts</w:t>
      </w:r>
    </w:p>
    <w:p>
      <w:pPr>
        <w:pStyle w:val="FirstParagraph"/>
      </w:pPr>
      <w:r>
        <w:t xml:space="preserve">Companies that skip this either duplicate items (e.g.,</w:t>
      </w:r>
      <w:r>
        <w:t xml:space="preserve"> </w:t>
      </w:r>
      <w:r>
        <w:t xml:space="preserve">“Heat Map - Sweden”</w:t>
      </w:r>
      <w:r>
        <w:t xml:space="preserve"> </w:t>
      </w:r>
      <w:r>
        <w:t xml:space="preserve">vs</w:t>
      </w:r>
      <w:r>
        <w:t xml:space="preserve"> </w:t>
      </w:r>
      <w:r>
        <w:t xml:space="preserve">“Heat Map - Norway”</w:t>
      </w:r>
      <w:r>
        <w:t xml:space="preserve">) or fall into dimension overload (Formpipe’s pre-acquisition mistake).</w:t>
      </w:r>
    </w:p>
    <w:bookmarkEnd w:id="23"/>
    <w:bookmarkStart w:id="27" w:name="X4671fe6a48ae88a3e6fda1149b09eb3b6673d7e"/>
    <w:p>
      <w:pPr>
        <w:pStyle w:val="Heading3"/>
      </w:pPr>
      <w:r>
        <w:t xml:space="preserve">3.5 Posting flow — how journal entries reach the ledger</w:t>
      </w:r>
    </w:p>
    <w:p>
      <w:pPr>
        <w:pStyle w:val="FirstParagraph"/>
      </w:pPr>
      <w:r>
        <w:rPr>
          <w:i/>
          <w:iCs/>
        </w:rPr>
        <w:t xml:space="preserve">(diagram: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ai/docs/BC-Posting-chris.png</w:t>
      </w:r>
      <w:r>
        <w:rPr>
          <w:i/>
          <w:iCs/>
        </w:rPr>
        <w:t xml:space="preserve">)</w:t>
      </w:r>
    </w:p>
    <w:p>
      <w:pPr>
        <w:pStyle w:val="CaptionedFigure"/>
      </w:pPr>
      <w:r>
        <w:drawing>
          <wp:inline>
            <wp:extent cx="2438400" cy="6591300"/>
            <wp:effectExtent b="0" l="0" r="0" t="0"/>
            <wp:docPr descr="Diagram 4" title="" id="25" name="Picture"/>
            <a:graphic>
              <a:graphicData uri="http://schemas.openxmlformats.org/drawingml/2006/picture">
                <pic:pic>
                  <pic:nvPicPr>
                    <pic:cNvPr descr="ai/docs/diagrams/diagram-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6591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4</w:t>
      </w:r>
    </w:p>
    <w:p>
      <w:pPr>
        <w:pStyle w:val="BodyText"/>
      </w:pPr>
      <w:r>
        <w:rPr>
          <w:b/>
          <w:bCs/>
        </w:rPr>
        <w:t xml:space="preserve">G/L Account posting in detail</w:t>
      </w:r>
      <w:r>
        <w:t xml:space="preserve"> </w:t>
      </w:r>
      <w:r>
        <w:t xml:space="preserve">(e.g., document GJ1234):</w:t>
      </w:r>
    </w:p>
    <w:p>
      <w:pPr>
        <w:pStyle w:val="Compact"/>
        <w:numPr>
          <w:ilvl w:val="0"/>
          <w:numId w:val="1003"/>
        </w:numPr>
      </w:pPr>
      <w:r>
        <w:t xml:space="preserve">General Journal entry in a batch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Post</w:t>
      </w:r>
      <w:r>
        <w:t xml:space="preserve"> </w:t>
      </w:r>
      <w:r>
        <w:t xml:space="preserve">triggers the posting engine</w:t>
      </w:r>
    </w:p>
    <w:p>
      <w:pPr>
        <w:pStyle w:val="Compact"/>
        <w:numPr>
          <w:ilvl w:val="0"/>
          <w:numId w:val="1003"/>
        </w:numPr>
      </w:pPr>
      <w:r>
        <w:t xml:space="preserve">Engine reads</w:t>
      </w:r>
      <w:r>
        <w:t xml:space="preserve"> </w:t>
      </w:r>
      <w:r>
        <w:rPr>
          <w:b/>
          <w:bCs/>
        </w:rPr>
        <w:t xml:space="preserve">Gen Posting Type</w:t>
      </w:r>
      <w:r>
        <w:t xml:space="preserve"> </w:t>
      </w:r>
      <w:r>
        <w:t xml:space="preserve">(Purchase / Sale / Settlement) and the</w:t>
      </w:r>
      <w:r>
        <w:t xml:space="preserve"> </w:t>
      </w:r>
      <w:r>
        <w:rPr>
          <w:b/>
          <w:bCs/>
        </w:rPr>
        <w:t xml:space="preserve">four posting groups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Posting Group</w:t>
            </w:r>
          </w:p>
        </w:tc>
        <w:tc>
          <w:tcPr/>
          <w:p>
            <w:pPr>
              <w:pStyle w:val="Compact"/>
            </w:pPr>
            <w:r>
              <w:t xml:space="preserve">Question it answers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 Business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Whom?</w:t>
            </w:r>
            <w:r>
              <w:t xml:space="preserve"> </w:t>
            </w:r>
            <w:r>
              <w:t xml:space="preserve">(who are we doing business with)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 Product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What?</w:t>
            </w:r>
            <w:r>
              <w:t xml:space="preserve"> </w:t>
            </w:r>
            <w:r>
              <w:t xml:space="preserve">(what are we selling/buying)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VAT Business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Who + Where?</w:t>
            </w:r>
            <w:r>
              <w:t xml:space="preserve"> </w:t>
            </w:r>
            <w:r>
              <w:t xml:space="preserve">(jurisdiction of counterparty)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VAT Product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+ Level?</w:t>
            </w:r>
            <w:r>
              <w:t xml:space="preserve"> </w:t>
            </w:r>
            <w:r>
              <w:t xml:space="preserve">(what type, at what VAT rate)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“All Five or None!”</w:t>
      </w:r>
      <w:r>
        <w:t xml:space="preserve"> </w:t>
      </w:r>
      <w:r>
        <w:t xml:space="preserve">— Gen Posting Type + all four posting groups must be set together, or none at all. You can’t partially specify.</w:t>
      </w:r>
    </w:p>
    <w:p>
      <w:pPr>
        <w:pStyle w:val="Compact"/>
        <w:numPr>
          <w:ilvl w:val="0"/>
          <w:numId w:val="1004"/>
        </w:numPr>
      </w:pPr>
      <w:r>
        <w:t xml:space="preserve">Output: document number →</w:t>
      </w:r>
      <w:r>
        <w:t xml:space="preserve"> </w:t>
      </w:r>
      <w:r>
        <w:rPr>
          <w:b/>
          <w:bCs/>
        </w:rPr>
        <w:t xml:space="preserve">General Ledger (CoA)</w:t>
      </w:r>
      <w:r>
        <w:t xml:space="preserve"> </w:t>
      </w:r>
      <w:r>
        <w:t xml:space="preserve">entry on the resolved account (e.g., 3010), and VAT% matched by Biz+Prod →</w:t>
      </w:r>
      <w:r>
        <w:t xml:space="preserve"> </w:t>
      </w:r>
      <w:r>
        <w:rPr>
          <w:b/>
          <w:bCs/>
        </w:rPr>
        <w:t xml:space="preserve">VAT Entries</w:t>
      </w:r>
      <w:r>
        <w:t xml:space="preserve"> </w:t>
      </w:r>
      <w:r>
        <w:t xml:space="preserve">ledger.</w:t>
      </w:r>
    </w:p>
    <w:bookmarkEnd w:id="27"/>
    <w:bookmarkStart w:id="31" w:name="Xae0d4cfee469128b3afa3c17ae80028b9cd8ef2"/>
    <w:p>
      <w:pPr>
        <w:pStyle w:val="Heading3"/>
      </w:pPr>
      <w:r>
        <w:t xml:space="preserve">3.6 Document posting — invoices and fixed assets</w:t>
      </w:r>
    </w:p>
    <w:p>
      <w:pPr>
        <w:pStyle w:val="FirstParagraph"/>
      </w:pPr>
      <w:r>
        <w:rPr>
          <w:i/>
          <w:iCs/>
        </w:rPr>
        <w:t xml:space="preserve">(diagram: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ai/docs/BC-Posting-from-document-chhris.png</w:t>
      </w:r>
      <w:r>
        <w:rPr>
          <w:i/>
          <w:iCs/>
        </w:rPr>
        <w:t xml:space="preserve">)</w:t>
      </w:r>
    </w:p>
    <w:p>
      <w:pPr>
        <w:pStyle w:val="BodyText"/>
      </w:pPr>
      <w:r>
        <w:rPr>
          <w:b/>
          <w:bCs/>
        </w:rPr>
        <w:t xml:space="preserve">Fixed Asset Vendor Invoice posting</w:t>
      </w:r>
      <w:r>
        <w:t xml:space="preserve"> </w:t>
      </w:r>
      <w:r>
        <w:t xml:space="preserve">— more complex, touches more ledgers:</w:t>
      </w:r>
    </w:p>
    <w:p>
      <w:pPr>
        <w:pStyle w:val="CaptionedFigure"/>
      </w:pPr>
      <w:r>
        <w:drawing>
          <wp:inline>
            <wp:extent cx="5334000" cy="2381156"/>
            <wp:effectExtent b="0" l="0" r="0" t="0"/>
            <wp:docPr descr="Diagram 5" title="" id="29" name="Picture"/>
            <a:graphic>
              <a:graphicData uri="http://schemas.openxmlformats.org/drawingml/2006/picture">
                <pic:pic>
                  <pic:nvPicPr>
                    <pic:cNvPr descr="ai/docs/diagrams/diagram-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1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5</w:t>
      </w:r>
    </w:p>
    <w:p>
      <w:pPr>
        <w:pStyle w:val="Compact"/>
        <w:numPr>
          <w:ilvl w:val="0"/>
          <w:numId w:val="1005"/>
        </w:numPr>
      </w:pPr>
      <w:r>
        <w:t xml:space="preserve">Prerequisites: FA Card must exist (FA Class, FA Subclass, FA Location). Insurance Card if the asset is covered.</w:t>
      </w:r>
    </w:p>
    <w:p>
      <w:pPr>
        <w:pStyle w:val="Compact"/>
        <w:numPr>
          <w:ilvl w:val="0"/>
          <w:numId w:val="1005"/>
        </w:numPr>
      </w:pPr>
      <w:r>
        <w:t xml:space="preserve">Tags: Posting Type, Document Type, FA Posting Type, Depr. Book Code</w:t>
      </w:r>
    </w:p>
    <w:p>
      <w:pPr>
        <w:pStyle w:val="Compact"/>
        <w:numPr>
          <w:ilvl w:val="0"/>
          <w:numId w:val="1005"/>
        </w:numPr>
      </w:pPr>
      <w:r>
        <w:t xml:space="preserve">Posting Groups: Gen Business, Gen Product, VAT Business, VAT Product,</w:t>
      </w:r>
      <w:r>
        <w:t xml:space="preserve"> </w:t>
      </w:r>
      <w:r>
        <w:rPr>
          <w:b/>
          <w:bCs/>
        </w:rPr>
        <w:t xml:space="preserve">Vendor</w:t>
      </w:r>
      <w:r>
        <w:t xml:space="preserve">,</w:t>
      </w:r>
      <w:r>
        <w:t xml:space="preserve"> </w:t>
      </w:r>
      <w:r>
        <w:rPr>
          <w:b/>
          <w:bCs/>
        </w:rPr>
        <w:t xml:space="preserve">FA</w:t>
      </w:r>
    </w:p>
    <w:p>
      <w:pPr>
        <w:pStyle w:val="FirstParagraph"/>
      </w:pPr>
      <w:r>
        <w:rPr>
          <w:b/>
          <w:bCs/>
        </w:rPr>
        <w:t xml:space="preserve">Vendor Invoice Payment registration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Purchase Journal (with Bank Account as balancing account) → Post →</w:t>
      </w:r>
      <w:r>
        <w:t xml:space="preserve"> </w:t>
      </w:r>
      <w:r>
        <w:t xml:space="preserve">“Apply Payment to Invoice”</w:t>
      </w:r>
      <w:r>
        <w:t xml:space="preserve"> </w:t>
      </w:r>
      <w:r>
        <w:t xml:space="preserve">on the Vendor Ledger</w:t>
      </w:r>
    </w:p>
    <w:p>
      <w:pPr>
        <w:pStyle w:val="Compact"/>
        <w:numPr>
          <w:ilvl w:val="0"/>
          <w:numId w:val="1006"/>
        </w:numPr>
      </w:pPr>
      <w:r>
        <w:t xml:space="preserve">Posting Groups: Vendor + Bank Account → writes to General Ledger + Bank Account Ledger</w:t>
      </w:r>
    </w:p>
    <w:bookmarkEnd w:id="31"/>
    <w:bookmarkStart w:id="35" w:name="project-module-erd"/>
    <w:p>
      <w:pPr>
        <w:pStyle w:val="Heading3"/>
      </w:pPr>
      <w:r>
        <w:t xml:space="preserve">3.7 Project module ERD</w:t>
      </w:r>
    </w:p>
    <w:p>
      <w:pPr>
        <w:pStyle w:val="FirstParagraph"/>
      </w:pPr>
      <w:r>
        <w:rPr>
          <w:i/>
          <w:iCs/>
        </w:rPr>
        <w:t xml:space="preserve">(diagram: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ai/docs/BC-Project-ERD-Chris.png</w:t>
      </w:r>
      <w:r>
        <w:rPr>
          <w:i/>
          <w:iCs/>
        </w:rPr>
        <w:t xml:space="preserve">)</w:t>
      </w:r>
    </w:p>
    <w:p>
      <w:pPr>
        <w:pStyle w:val="CaptionedFigure"/>
      </w:pPr>
      <w:r>
        <w:drawing>
          <wp:inline>
            <wp:extent cx="5334000" cy="4208384"/>
            <wp:effectExtent b="0" l="0" r="0" t="0"/>
            <wp:docPr descr="Diagram 6" title="" id="33" name="Picture"/>
            <a:graphic>
              <a:graphicData uri="http://schemas.openxmlformats.org/drawingml/2006/picture">
                <pic:pic>
                  <pic:nvPicPr>
                    <pic:cNvPr descr="ai/docs/diagrams/diagram-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08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6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Planning Lines</w:t>
      </w:r>
      <w:r>
        <w:t xml:space="preserve"> </w:t>
      </w:r>
      <w:r>
        <w:t xml:space="preserve">are the journal entries: Billable, Budget, or Both Billable and Budget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“Create Job Sales Invoice”</w:t>
      </w:r>
      <w:r>
        <w:t xml:space="preserve"> </w:t>
      </w:r>
      <w:r>
        <w:t xml:space="preserve">pulls Planning Lines → Invoice Lines → Invoice Head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G/L Account</w:t>
      </w:r>
      <w:r>
        <w:t xml:space="preserve"> </w:t>
      </w:r>
      <w:r>
        <w:t xml:space="preserve">can also appear on Planning Lines (for non-item, non-resource costs)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Time Sheet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Calendar</w:t>
      </w:r>
      <w:r>
        <w:t xml:space="preserve"> </w:t>
      </w:r>
      <w:r>
        <w:t xml:space="preserve">connections shown with</w:t>
      </w:r>
      <w:r>
        <w:t xml:space="preserve"> </w:t>
      </w:r>
      <w:r>
        <w:t xml:space="preserve">“?”</w:t>
      </w:r>
      <w:r>
        <w:t xml:space="preserve"> </w:t>
      </w:r>
      <w:r>
        <w:t xml:space="preserve">— integration points that may or may not be enabled</w:t>
      </w:r>
    </w:p>
    <w:bookmarkEnd w:id="35"/>
    <w:bookmarkStart w:id="39" w:name="X8073e9e7d78e2351d79da5a8680c274f5c59f48"/>
    <w:p>
      <w:pPr>
        <w:pStyle w:val="Heading3"/>
      </w:pPr>
      <w:r>
        <w:t xml:space="preserve">3.8 VAT Business Posting Groups — geographic model</w:t>
      </w:r>
    </w:p>
    <w:p>
      <w:pPr>
        <w:pStyle w:val="FirstParagraph"/>
      </w:pPr>
      <w:r>
        <w:rPr>
          <w:i/>
          <w:iCs/>
        </w:rPr>
        <w:t xml:space="preserve">(diagram: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ai/docs/BC-VAT-pg-Chris.png</w:t>
      </w:r>
      <w:r>
        <w:rPr>
          <w:i/>
          <w:iCs/>
        </w:rPr>
        <w:t xml:space="preserve">)</w:t>
      </w:r>
    </w:p>
    <w:p>
      <w:pPr>
        <w:pStyle w:val="CaptionedFigure"/>
      </w:pPr>
      <w:r>
        <w:drawing>
          <wp:inline>
            <wp:extent cx="5334000" cy="2641249"/>
            <wp:effectExtent b="0" l="0" r="0" t="0"/>
            <wp:docPr descr="Diagram 7" title="" id="37" name="Picture"/>
            <a:graphic>
              <a:graphicData uri="http://schemas.openxmlformats.org/drawingml/2006/picture">
                <pic:pic>
                  <pic:nvPicPr>
                    <pic:cNvPr descr="ai/docs/diagrams/diagram-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1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7</w:t>
      </w:r>
    </w:p>
    <w:p>
      <w:pPr>
        <w:pStyle w:val="Compact"/>
        <w:numPr>
          <w:ilvl w:val="0"/>
          <w:numId w:val="1008"/>
        </w:numPr>
      </w:pPr>
      <w:r>
        <w:t xml:space="preserve">Each country has its own</w:t>
      </w:r>
      <w:r>
        <w:t xml:space="preserve"> </w:t>
      </w:r>
      <w:r>
        <w:rPr>
          <w:b/>
          <w:bCs/>
        </w:rPr>
        <w:t xml:space="preserve">GGR</w:t>
      </w:r>
      <w:r>
        <w:t xml:space="preserve"> </w:t>
      </w:r>
      <w:r>
        <w:t xml:space="preserve">(effectively the VAT Bus. Posting Group for that entity)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DOM</w:t>
      </w:r>
      <w:r>
        <w:t xml:space="preserve"> </w:t>
      </w:r>
      <w:r>
        <w:t xml:space="preserve">= domestic (same country),</w:t>
      </w:r>
      <w:r>
        <w:t xml:space="preserve"> </w:t>
      </w:r>
      <w:r>
        <w:rPr>
          <w:b/>
          <w:bCs/>
        </w:rPr>
        <w:t xml:space="preserve">EXP</w:t>
      </w:r>
      <w:r>
        <w:t xml:space="preserve"> </w:t>
      </w:r>
      <w:r>
        <w:t xml:space="preserve">= export (cross-border),</w:t>
      </w:r>
      <w:r>
        <w:t xml:space="preserve"> </w:t>
      </w:r>
      <w:r>
        <w:rPr>
          <w:b/>
          <w:bCs/>
        </w:rPr>
        <w:t xml:space="preserve">ORG-EU</w:t>
      </w:r>
      <w:r>
        <w:t xml:space="preserve"> </w:t>
      </w:r>
      <w:r>
        <w:t xml:space="preserve">= EU organisation (intra-community VAT rules)</w:t>
      </w:r>
    </w:p>
    <w:p>
      <w:pPr>
        <w:pStyle w:val="Compact"/>
        <w:numPr>
          <w:ilvl w:val="0"/>
          <w:numId w:val="1008"/>
        </w:numPr>
      </w:pPr>
      <w:r>
        <w:t xml:space="preserve">DK customer</w:t>
      </w:r>
      <w:r>
        <w:t xml:space="preserve"> </w:t>
      </w:r>
      <w:r>
        <w:t xml:space="preserve">“with VAT”</w:t>
      </w:r>
      <w:r>
        <w:t xml:space="preserve"> </w:t>
      </w:r>
      <w:r>
        <w:t xml:space="preserve">shows that some jurisdictions require VAT registration on the customer card</w:t>
      </w:r>
    </w:p>
    <w:p>
      <w:pPr>
        <w:pStyle w:val="Compact"/>
        <w:numPr>
          <w:ilvl w:val="0"/>
          <w:numId w:val="1008"/>
        </w:numPr>
      </w:pPr>
      <w:r>
        <w:t xml:space="preserve">This is why the WHO × WHAT matrix is so powerful — same item, different customer country, correct VAT treatment automatically</w:t>
      </w:r>
    </w:p>
    <w:bookmarkEnd w:id="39"/>
    <w:bookmarkStart w:id="43" w:name="warehouse-module"/>
    <w:p>
      <w:pPr>
        <w:pStyle w:val="Heading3"/>
      </w:pPr>
      <w:r>
        <w:t xml:space="preserve">3.9 Warehouse module</w:t>
      </w:r>
    </w:p>
    <w:p>
      <w:pPr>
        <w:pStyle w:val="FirstParagraph"/>
      </w:pPr>
      <w:r>
        <w:rPr>
          <w:i/>
          <w:iCs/>
        </w:rPr>
        <w:t xml:space="preserve">(diagram: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ai/docs/BC-Warehous-ERD-Chris.png</w:t>
      </w:r>
      <w:r>
        <w:rPr>
          <w:i/>
          <w:iCs/>
        </w:rPr>
        <w:t xml:space="preserve">)</w:t>
      </w:r>
    </w:p>
    <w:p>
      <w:pPr>
        <w:pStyle w:val="BodyText"/>
      </w:pPr>
      <w:r>
        <w:t xml:space="preserve">Not directly relevant for consulting/services, but important for Goods-type engagements and Formpipe’s product lines.</w:t>
      </w:r>
    </w:p>
    <w:p>
      <w:pPr>
        <w:pStyle w:val="CaptionedFigure"/>
      </w:pPr>
      <w:r>
        <w:drawing>
          <wp:inline>
            <wp:extent cx="4381500" cy="7924800"/>
            <wp:effectExtent b="0" l="0" r="0" t="0"/>
            <wp:docPr descr="Diagram 8" title="" id="41" name="Picture"/>
            <a:graphic>
              <a:graphicData uri="http://schemas.openxmlformats.org/drawingml/2006/picture">
                <pic:pic>
                  <pic:nvPicPr>
                    <pic:cNvPr descr="ai/docs/diagrams/diagram-8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792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8</w:t>
      </w:r>
    </w:p>
    <w:p>
      <w:pPr>
        <w:pStyle w:val="BodyText"/>
      </w:pPr>
      <w:r>
        <w:rPr>
          <w:b/>
          <w:bCs/>
        </w:rPr>
        <w:t xml:space="preserve">Inbound flow</w:t>
      </w:r>
      <w:r>
        <w:t xml:space="preserve">: Purchase Order → Receipt (Released) → Put-Away (Released)</w:t>
      </w:r>
    </w:p>
    <w:p>
      <w:pPr>
        <w:pStyle w:val="BodyText"/>
      </w:pPr>
      <w:r>
        <w:rPr>
          <w:b/>
          <w:bCs/>
        </w:rPr>
        <w:t xml:space="preserve">Outbound flow</w:t>
      </w:r>
      <w:r>
        <w:t xml:space="preserve">: Sales Order (Released) → Pick (Register) → Shipment (Post) → Invoice</w:t>
      </w:r>
    </w:p>
    <w:p>
      <w:pPr>
        <w:pStyle w:val="BodyText"/>
      </w:pPr>
      <w:r>
        <w:t xml:space="preserve">If Bin is</w:t>
      </w:r>
      <w:r>
        <w:t xml:space="preserve"> </w:t>
      </w:r>
      <w:r>
        <w:rPr>
          <w:b/>
          <w:bCs/>
        </w:rPr>
        <w:t xml:space="preserve">not mandatory</w:t>
      </w:r>
      <w:r>
        <w:t xml:space="preserve">: just</w:t>
      </w:r>
      <w:r>
        <w:t xml:space="preserve"> </w:t>
      </w:r>
      <w:r>
        <w:t xml:space="preserve">“Recording”</w:t>
      </w:r>
      <w:r>
        <w:t xml:space="preserve"> </w:t>
      </w:r>
      <w:r>
        <w:t xml:space="preserve">(simplified tracking without bin-level precision).</w:t>
      </w:r>
    </w:p>
    <w:bookmarkEnd w:id="43"/>
    <w:bookmarkStart w:id="44" w:name="Xf9e25c9e9f4f6d4d05cf5e8775f52c5f6f6dcbe"/>
    <w:p>
      <w:pPr>
        <w:pStyle w:val="Heading3"/>
      </w:pPr>
      <w:r>
        <w:t xml:space="preserve">3.10 Why Project (not direct Sales Invoice) for</w:t>
      </w:r>
      <w:r>
        <w:t xml:space="preserve"> </w:t>
      </w:r>
      <w:r>
        <w:t xml:space="preserve">“messy”</w:t>
      </w:r>
      <w:r>
        <w:t xml:space="preserve"> </w:t>
      </w:r>
      <w:r>
        <w:t xml:space="preserve">engagements</w:t>
      </w:r>
    </w:p>
    <w:p>
      <w:pPr>
        <w:pStyle w:val="FirstParagraph"/>
      </w:pPr>
      <w:r>
        <w:t xml:space="preserve">Project model wins over direct invoicing when:</w:t>
      </w:r>
      <w:r>
        <w:t xml:space="preserve"> </w:t>
      </w:r>
      <w:r>
        <w:t xml:space="preserve">- Engagement is evolving, not a one-off transaction</w:t>
      </w:r>
      <w:r>
        <w:t xml:space="preserve"> </w:t>
      </w:r>
      <w:r>
        <w:t xml:space="preserve">- Mixed billing (fixed-price + hours + travel + future licenses) in one container</w:t>
      </w:r>
      <w:r>
        <w:t xml:space="preserve"> </w:t>
      </w:r>
      <w:r>
        <w:t xml:space="preserve">- Need analytical granularity per sub-element preserved through to invoicing</w:t>
      </w:r>
      <w:r>
        <w:t xml:space="preserve"> </w:t>
      </w:r>
      <w:r>
        <w:t xml:space="preserve">- Want budget vs actual and margin reporting</w:t>
      </w:r>
    </w:p>
    <w:p>
      <w:pPr>
        <w:pStyle w:val="BodyText"/>
      </w:pPr>
      <w:r>
        <w:t xml:space="preserve">Keep recurring/subscription billing</w:t>
      </w:r>
      <w:r>
        <w:t xml:space="preserve"> </w:t>
      </w:r>
      <w:r>
        <w:rPr>
          <w:b/>
          <w:bCs/>
        </w:rPr>
        <w:t xml:space="preserve">outside</w:t>
      </w:r>
      <w:r>
        <w:t xml:space="preserve"> </w:t>
      </w:r>
      <w:r>
        <w:t xml:space="preserve">the project — keeps project P&amp;L clean.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7" w:name="operational-playbook-the-8-step-flow"/>
    <w:p>
      <w:pPr>
        <w:pStyle w:val="Heading2"/>
      </w:pPr>
      <w:r>
        <w:t xml:space="preserve">4. Operational playbook — the 8-step flow</w:t>
      </w:r>
    </w:p>
    <w:p>
      <w:pPr>
        <w:pStyle w:val="FirstParagraph"/>
      </w:pPr>
      <w:r>
        <w:t xml:space="preserve">Morre’s prescribed order for setting up a new consulting engagement. Order matters because of layer dependencies.</w:t>
      </w:r>
    </w:p>
    <w:p>
      <w:pPr>
        <w:pStyle w:val="CaptionedFigure"/>
      </w:pPr>
      <w:r>
        <w:drawing>
          <wp:inline>
            <wp:extent cx="5334000" cy="333375"/>
            <wp:effectExtent b="0" l="0" r="0" t="0"/>
            <wp:docPr descr="Diagram 9" title="" id="47" name="Picture"/>
            <a:graphic>
              <a:graphicData uri="http://schemas.openxmlformats.org/drawingml/2006/picture">
                <pic:pic>
                  <pic:nvPicPr>
                    <pic:cNvPr descr="ai/docs/diagrams/diagram-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9</w:t>
      </w:r>
    </w:p>
    <w:bookmarkStart w:id="49" w:name="step-1-customer"/>
    <w:p>
      <w:pPr>
        <w:pStyle w:val="Heading3"/>
      </w:pPr>
      <w:r>
        <w:t xml:space="preserve">Step 1 — Customer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Tentixo convention (domestic SE B2B)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Gen. Bus. Posting 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VAT Bus. Posting 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Posting 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DOMESTIC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Country/Region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Registration No.</w:t>
            </w:r>
          </w:p>
        </w:tc>
        <w:tc>
          <w:tcPr/>
          <w:p>
            <w:pPr>
              <w:pStyle w:val="Compact"/>
            </w:pPr>
            <w:r>
              <w:t xml:space="preserve">org.nr (e.g. </w:t>
            </w:r>
            <w:r>
              <w:rPr>
                <w:rStyle w:val="VerbatimChar"/>
              </w:rPr>
              <w:t xml:space="preserve">5566778899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VAT Registration No.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</w:t>
            </w:r>
            <w:r>
              <w:t xml:space="preserve"> </w:t>
            </w:r>
            <w:r>
              <w:t xml:space="preserve">+ org.nr +</w:t>
            </w:r>
            <w:r>
              <w:t xml:space="preserve"> </w:t>
            </w:r>
            <w:r>
              <w:rPr>
                <w:rStyle w:val="VerbatimChar"/>
              </w:rPr>
              <w:t xml:space="preserve">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Terms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Registration No.</w:t>
      </w:r>
      <w:r>
        <w:t xml:space="preserve"> </w:t>
      </w:r>
      <w:r>
        <w:t xml:space="preserve">is on General FastTab (newer BC) or Invoicing FastTab (older). Don’t confuse with</w:t>
      </w:r>
      <w:r>
        <w:t xml:space="preserve"> </w:t>
      </w:r>
      <w:r>
        <w:rPr>
          <w:rStyle w:val="VerbatimChar"/>
        </w:rPr>
        <w:t xml:space="preserve">VAT Registration No.</w:t>
      </w:r>
    </w:p>
    <w:bookmarkEnd w:id="49"/>
    <w:bookmarkStart w:id="50" w:name="step-2-contact"/>
    <w:p>
      <w:pPr>
        <w:pStyle w:val="Heading3"/>
      </w:pPr>
      <w:r>
        <w:t xml:space="preserve">Step 2 — Contact</w:t>
      </w:r>
    </w:p>
    <w:p>
      <w:pPr>
        <w:pStyle w:val="FirstParagraph"/>
      </w:pPr>
      <w:r>
        <w:t xml:space="preserve">Creating a Customer auto-creates a company-type Contact card. Open it and</w:t>
      </w:r>
      <w:r>
        <w:t xml:space="preserve"> </w:t>
      </w:r>
      <w:r>
        <w:rPr>
          <w:b/>
          <w:bCs/>
        </w:rPr>
        <w:t xml:space="preserve">add person contacts</w:t>
      </w:r>
      <w:r>
        <w:t xml:space="preserve"> </w:t>
      </w:r>
      <w:r>
        <w:t xml:space="preserve">(decision-maker, billing/AP, technical lead).</w:t>
      </w:r>
    </w:p>
    <w:p>
      <w:pPr>
        <w:pStyle w:val="BodyText"/>
      </w:pPr>
      <w:r>
        <w:t xml:space="preserve">Watch for duplicate contacts if the same company is both customer and vendor (Idonex pattern). Merge via Contact → Actions → Merge.</w:t>
      </w:r>
    </w:p>
    <w:bookmarkEnd w:id="50"/>
    <w:bookmarkStart w:id="51" w:name="step-3-item-service-type"/>
    <w:p>
      <w:pPr>
        <w:pStyle w:val="Heading3"/>
      </w:pPr>
      <w:r>
        <w:t xml:space="preserve">Step 3 — Item (Service-type)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Unit of Measure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Gen. Prod. Posting 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CONSULTING1</w:t>
            </w:r>
            <w:r>
              <w:t xml:space="preserve"> </w:t>
            </w:r>
            <w:r>
              <w:t xml:space="preserve">(Human-bound delivery)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VAT Prod. Posting 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VAT25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 Posting Group</w:t>
            </w:r>
          </w:p>
        </w:tc>
        <w:tc>
          <w:tcPr/>
          <w:p>
            <w:pPr>
              <w:pStyle w:val="Compact"/>
            </w:pPr>
            <w:r>
              <w:t xml:space="preserve">blank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Price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(override via price list)</w:t>
            </w:r>
          </w:p>
        </w:tc>
      </w:tr>
    </w:tbl>
    <w:bookmarkEnd w:id="51"/>
    <w:bookmarkStart w:id="52" w:name="step-4-resource-the-we-sell-you-side"/>
    <w:p>
      <w:pPr>
        <w:pStyle w:val="Heading3"/>
      </w:pPr>
      <w:r>
        <w:t xml:space="preserve">Step 4 — Resource (the</w:t>
      </w:r>
      <w:r>
        <w:t xml:space="preserve"> </w:t>
      </w:r>
      <w:r>
        <w:t xml:space="preserve">“we sell you”</w:t>
      </w:r>
      <w:r>
        <w:t xml:space="preserve"> </w:t>
      </w:r>
      <w:r>
        <w:t xml:space="preserve">side)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Unit of Measure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Cost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560</w:t>
            </w:r>
            <w:r>
              <w:t xml:space="preserve"> </w:t>
            </w:r>
            <w:r>
              <w:t xml:space="preserve">(my internal cost rate)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Price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1400</w:t>
            </w:r>
            <w:r>
              <w:t xml:space="preserve"> </w:t>
            </w:r>
            <w:r>
              <w:t xml:space="preserve">(default sell rate — override per client/project)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Gen. Prod. Posting 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CONSULTING1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VAT Prod. Posting 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VAT25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Trap</w:t>
      </w:r>
      <w:r>
        <w:t xml:space="preserve">: Unit Cost and Unit Price sit next to each other. Don’t change Unit Cost when you mean Unit Price (Morre caught me on this).</w:t>
      </w:r>
    </w:p>
    <w:bookmarkEnd w:id="52"/>
    <w:bookmarkStart w:id="53" w:name="step-5-employee-the-you-work-for-us-side"/>
    <w:p>
      <w:pPr>
        <w:pStyle w:val="Heading3"/>
      </w:pPr>
      <w:r>
        <w:t xml:space="preserve">Step 5 — Employee (the</w:t>
      </w:r>
      <w:r>
        <w:t xml:space="preserve"> </w:t>
      </w:r>
      <w:r>
        <w:t xml:space="preserve">“you work for us”</w:t>
      </w:r>
      <w:r>
        <w:t xml:space="preserve"> </w:t>
      </w:r>
      <w:r>
        <w:t xml:space="preserve">side)</w:t>
      </w:r>
    </w:p>
    <w:p>
      <w:pPr>
        <w:pStyle w:val="FirstParagraph"/>
      </w:pPr>
      <w:r>
        <w:t xml:space="preserve">Parallel record to Resource. Where the Resource card links via</w:t>
      </w:r>
      <w:r>
        <w:t xml:space="preserve"> </w:t>
      </w:r>
      <w:r>
        <w:rPr>
          <w:rStyle w:val="VerbatimChar"/>
        </w:rPr>
        <w:t xml:space="preserve">Employee No.</w:t>
      </w:r>
      <w:r>
        <w:t xml:space="preserve">, populate it. Payroll-side setup is a separate workstream.</w:t>
      </w:r>
    </w:p>
    <w:bookmarkEnd w:id="53"/>
    <w:bookmarkStart w:id="54" w:name="step-6-project"/>
    <w:p>
      <w:pPr>
        <w:pStyle w:val="Heading3"/>
      </w:pPr>
      <w:r>
        <w:t xml:space="preserve">Step 6 — Project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05"/>
        <w:gridCol w:w="561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Bill-to Customer No.</w:t>
            </w:r>
          </w:p>
        </w:tc>
        <w:tc>
          <w:tcPr/>
          <w:p>
            <w:pPr>
              <w:pStyle w:val="Compact"/>
            </w:pPr>
            <w:r>
              <w:t xml:space="preserve">the 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Posting Group</w:t>
            </w:r>
          </w:p>
        </w:tc>
        <w:tc>
          <w:tcPr/>
          <w:p>
            <w:pPr>
              <w:pStyle w:val="Compact"/>
            </w:pPr>
            <w:r>
              <w:t xml:space="preserve">a consulting-aligned group with WIP account configured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 Responsible</w:t>
            </w:r>
          </w:p>
        </w:tc>
        <w:tc>
          <w:tcPr/>
          <w:p>
            <w:pPr>
              <w:pStyle w:val="Compact"/>
            </w:pPr>
            <w:r>
              <w:t xml:space="preserve">the lead consultant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Project Tasks</w:t>
      </w:r>
      <w:r>
        <w:t xml:space="preserve">: start with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posting-type task (e.g.,</w:t>
      </w:r>
      <w:r>
        <w:t xml:space="preserve"> </w:t>
      </w:r>
      <w:r>
        <w:rPr>
          <w:rStyle w:val="VerbatimChar"/>
        </w:rPr>
        <w:t xml:space="preserve">1000 Heat Map</w:t>
      </w:r>
      <w:r>
        <w:t xml:space="preserve">). Add sub-tasks only when engagement splits (retainer + project work, or pre-study/execution/post). Don’t pre-optimise.</w:t>
      </w:r>
    </w:p>
    <w:p>
      <w:pPr>
        <w:pStyle w:val="BodyText"/>
      </w:pPr>
      <w:r>
        <w:rPr>
          <w:b/>
          <w:bCs/>
        </w:rPr>
        <w:t xml:space="preserve">WIP method must match project type.</w:t>
      </w:r>
      <w:r>
        <w:t xml:space="preserve"> </w:t>
      </w:r>
      <w:r>
        <w:t xml:space="preserve">If a T&amp;M project has WIP method set to</w:t>
      </w:r>
      <w:r>
        <w:t xml:space="preserve"> </w:t>
      </w:r>
      <w:r>
        <w:t xml:space="preserve">“Fixed Price”</w:t>
      </w:r>
      <w:r>
        <w:t xml:space="preserve"> </w:t>
      </w:r>
      <w:r>
        <w:t xml:space="preserve">(or vice versa), the WIP postings hit the wrong chart-of-accounts entries. Check WIP Method on the project card before any WIP calculation.</w:t>
      </w:r>
    </w:p>
    <w:bookmarkEnd w:id="54"/>
    <w:bookmarkStart w:id="55" w:name="step-7-project-journal"/>
    <w:p>
      <w:pPr>
        <w:pStyle w:val="Heading3"/>
      </w:pPr>
      <w:r>
        <w:t xml:space="preserve">Step 7 — Project Journal</w:t>
      </w:r>
    </w:p>
    <w:p>
      <w:pPr>
        <w:pStyle w:val="FirstParagraph"/>
      </w:pPr>
      <w:r>
        <w:rPr>
          <w:b/>
          <w:bCs/>
        </w:rPr>
        <w:t xml:space="preserve">Journal batch hygiene</w:t>
      </w:r>
      <w:r>
        <w:t xml:space="preserve">: Before posting, check which batch you’re in (top of the journal page). Batches let multiple people work in the same journal simultaneously without collisions. There’s a dedicated</w:t>
      </w:r>
      <w:r>
        <w:t xml:space="preserve"> </w:t>
      </w:r>
      <w:r>
        <w:rPr>
          <w:b/>
          <w:bCs/>
        </w:rPr>
        <w:t xml:space="preserve">API batch</w:t>
      </w:r>
      <w:r>
        <w:t xml:space="preserve"> </w:t>
      </w:r>
      <w:r>
        <w:t xml:space="preserve">with its own number series — never post manually to it. Use the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batch for manual work.</w:t>
      </w:r>
    </w:p>
    <w:p>
      <w:pPr>
        <w:pStyle w:val="BodyText"/>
      </w:pPr>
      <w:r>
        <w:t xml:space="preserve">Two line types for fixed-price engagements:</w:t>
      </w:r>
    </w:p>
    <w:p>
      <w:pPr>
        <w:pStyle w:val="SourceCode"/>
      </w:pPr>
      <w:r>
        <w:rPr>
          <w:rStyle w:val="VerbatimChar"/>
        </w:rPr>
        <w:t xml:space="preserve">Line 1 (revenue capture):</w:t>
      </w:r>
      <w:r>
        <w:br/>
      </w:r>
      <w:r>
        <w:rPr>
          <w:rStyle w:val="VerbatimChar"/>
        </w:rPr>
        <w:t xml:space="preserve">  Type=Item, No.=HM-LITE, Project Task=1000, Qty=1,</w:t>
      </w:r>
      <w:r>
        <w:br/>
      </w:r>
      <w:r>
        <w:rPr>
          <w:rStyle w:val="VerbatimChar"/>
        </w:rPr>
        <w:t xml:space="preserve">  Unit Price=18000 (override), Line Type=Billable</w:t>
      </w:r>
      <w:r>
        <w:br/>
      </w:r>
      <w:r>
        <w:br/>
      </w:r>
      <w:r>
        <w:rPr>
          <w:rStyle w:val="VerbatimChar"/>
        </w:rPr>
        <w:t xml:space="preserve">Line 2 (cost capture):</w:t>
      </w:r>
      <w:r>
        <w:br/>
      </w:r>
      <w:r>
        <w:rPr>
          <w:rStyle w:val="VerbatimChar"/>
        </w:rPr>
        <w:t xml:space="preserve">  Type=Resource, No.=CHRIS, Project Task=1000, Qty=16,</w:t>
      </w:r>
      <w:r>
        <w:br/>
      </w:r>
      <w:r>
        <w:rPr>
          <w:rStyle w:val="VerbatimChar"/>
        </w:rPr>
        <w:t xml:space="preserve">  Line Type=Non-Billable</w:t>
      </w:r>
    </w:p>
    <w:p>
      <w:pPr>
        <w:pStyle w:val="FirstParagraph"/>
      </w:pPr>
      <w:r>
        <w:t xml:space="preserve">For T&amp;M instead: Resource lines are</w:t>
      </w:r>
      <w:r>
        <w:t xml:space="preserve"> </w:t>
      </w:r>
      <w:r>
        <w:rPr>
          <w:rStyle w:val="VerbatimChar"/>
        </w:rPr>
        <w:t xml:space="preserve">Billable</w:t>
      </w:r>
      <w:r>
        <w:t xml:space="preserve">, no Item line needed.</w:t>
      </w:r>
    </w:p>
    <w:p>
      <w:pPr>
        <w:pStyle w:val="BodyText"/>
      </w:pPr>
      <w:r>
        <w:rPr>
          <w:b/>
          <w:bCs/>
        </w:rPr>
        <w:t xml:space="preserve">Posting date shortcuts</w:t>
      </w:r>
      <w:r>
        <w:t xml:space="preserve">: Type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+ Tab for today’s date. For prior months, type the short date directly (e.g.,</w:t>
      </w:r>
      <w:r>
        <w:t xml:space="preserve"> </w:t>
      </w:r>
      <w:r>
        <w:rPr>
          <w:rStyle w:val="VerbatimChar"/>
        </w:rPr>
        <w:t xml:space="preserve">0430</w:t>
      </w:r>
      <w:r>
        <w:t xml:space="preserve"> </w:t>
      </w:r>
      <w:r>
        <w:t xml:space="preserve">for April 30).</w:t>
      </w:r>
    </w:p>
    <w:p>
      <w:pPr>
        <w:pStyle w:val="BodyText"/>
      </w:pPr>
      <w:r>
        <w:rPr>
          <w:b/>
          <w:bCs/>
        </w:rPr>
        <w:t xml:space="preserve">Unit Price vs Unit Price (LCY)</w:t>
      </w:r>
      <w:r>
        <w:t xml:space="preserve">: If the project is in a foreign currency, set the price in</w:t>
      </w:r>
      <w:r>
        <w:t xml:space="preserve"> </w:t>
      </w:r>
      <w:r>
        <w:rPr>
          <w:rStyle w:val="VerbatimChar"/>
        </w:rPr>
        <w:t xml:space="preserve">Unit Price</w:t>
      </w:r>
      <w:r>
        <w:t xml:space="preserve">.</w:t>
      </w:r>
      <w:r>
        <w:t xml:space="preserve"> </w:t>
      </w:r>
      <w:r>
        <w:rPr>
          <w:rStyle w:val="VerbatimChar"/>
        </w:rPr>
        <w:t xml:space="preserve">Unit Price (LCY)</w:t>
      </w:r>
      <w:r>
        <w:t xml:space="preserve"> </w:t>
      </w:r>
      <w:r>
        <w:t xml:space="preserve">is the local-currency equivalent and auto-calculates. For SEK projects, they’re the same — but edit</w:t>
      </w:r>
      <w:r>
        <w:t xml:space="preserve"> </w:t>
      </w:r>
      <w:r>
        <w:rPr>
          <w:rStyle w:val="VerbatimChar"/>
        </w:rPr>
        <w:t xml:space="preserve">Unit Price</w:t>
      </w:r>
      <w:r>
        <w:t xml:space="preserve">, not the LCY field.</w:t>
      </w:r>
    </w:p>
    <w:p>
      <w:pPr>
        <w:pStyle w:val="BodyText"/>
      </w:pPr>
      <w:r>
        <w:rPr>
          <w:b/>
          <w:bCs/>
        </w:rPr>
        <w:t xml:space="preserve">Late hours</w:t>
      </w:r>
      <w:r>
        <w:t xml:space="preserve">: Post old hours to the correct past month (posting date = when the work happened). BC’s invoicing picks up anything uninvoiced regardless of date, so late-reported hours get captured automatically on the next invoice run.</w:t>
      </w:r>
    </w:p>
    <w:p>
      <w:pPr>
        <w:pStyle w:val="BodyText"/>
      </w:pPr>
      <w:r>
        <w:t xml:space="preserve">Post the journal (F9).</w:t>
      </w:r>
    </w:p>
    <w:bookmarkEnd w:id="55"/>
    <w:bookmarkStart w:id="56" w:name="step-8-create-project-invoice"/>
    <w:p>
      <w:pPr>
        <w:pStyle w:val="Heading3"/>
      </w:pPr>
      <w:r>
        <w:t xml:space="preserve">Step 8 — Create Project Invoice</w:t>
      </w:r>
    </w:p>
    <w:p>
      <w:pPr>
        <w:pStyle w:val="FirstParagraph"/>
      </w:pPr>
      <w:r>
        <w:rPr>
          <w:b/>
          <w:bCs/>
        </w:rPr>
        <w:t xml:space="preserve">Two ways to create the invoice: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Global</w:t>
      </w:r>
      <w:r>
        <w:t xml:space="preserve">: Search →</w:t>
      </w:r>
      <w:r>
        <w:t xml:space="preserve"> </w:t>
      </w:r>
      <w:r>
        <w:t xml:space="preserve">“Create Project Sales Invoice”</w:t>
      </w:r>
      <w:r>
        <w:t xml:space="preserve"> </w:t>
      </w:r>
      <w:r>
        <w:t xml:space="preserve">→ OK. Takes all uninvoiced billable lines across projects.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Per task line</w:t>
      </w:r>
      <w:r>
        <w:t xml:space="preserve">: From the project task, Manage → Line → Documents → Create Sales Invoice. Invoices just that task — useful when you want to bill pre-study separately from execution.</w:t>
      </w:r>
    </w:p>
    <w:p>
      <w:pPr>
        <w:pStyle w:val="BodyText"/>
      </w:pPr>
      <w:r>
        <w:t xml:space="preserve">The draft Sales Invoice is linked to the project.</w:t>
      </w:r>
      <w:r>
        <w:t xml:space="preserve"> </w:t>
      </w:r>
      <w:r>
        <w:rPr>
          <w:b/>
          <w:bCs/>
        </w:rPr>
        <w:t xml:space="preserve">Project-linked lines are locked</w:t>
      </w:r>
      <w:r>
        <w:t xml:space="preserve"> </w:t>
      </w:r>
      <w:r>
        <w:t xml:space="preserve">— you can’t change quantities or prices on them. You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add extra lines (e.g., comments, one-off charges), but those additions won’t be tracked in the project.</w:t>
      </w:r>
    </w:p>
    <w:p>
      <w:pPr>
        <w:pStyle w:val="BodyText"/>
      </w:pPr>
      <w:r>
        <w:rPr>
          <w:b/>
          <w:bCs/>
        </w:rPr>
        <w:t xml:space="preserve">Work Description field</w:t>
      </w:r>
      <w:r>
        <w:t xml:space="preserve"> </w:t>
      </w:r>
      <w:r>
        <w:t xml:space="preserve">(under</w:t>
      </w:r>
      <w:r>
        <w:t xml:space="preserve"> </w:t>
      </w:r>
      <w:r>
        <w:t xml:space="preserve">“Show more”</w:t>
      </w:r>
      <w:r>
        <w:t xml:space="preserve"> </w:t>
      </w:r>
      <w:r>
        <w:t xml:space="preserve">on the invoice header): Text that appears above the line items on the printed invoice. Use it for engagement descriptions, period references, etc.</w:t>
      </w:r>
    </w:p>
    <w:p>
      <w:pPr>
        <w:pStyle w:val="BodyText"/>
      </w:pPr>
      <w:r>
        <w:t xml:space="preserve">Review header/lines/Statistics (F7), then Post &amp; Send.</w:t>
      </w:r>
    </w:p>
    <w:p>
      <w:pPr>
        <w:pStyle w:val="BodyText"/>
      </w:pPr>
      <w:r>
        <w:rPr>
          <w:b/>
          <w:bCs/>
        </w:rPr>
        <w:t xml:space="preserve">Invoice structure (useful for API work)</w:t>
      </w:r>
      <w:r>
        <w:t xml:space="preserve">: An invoice is just Head + Lines. The</w:t>
      </w:r>
      <w:r>
        <w:t xml:space="preserve"> </w:t>
      </w:r>
      <w:r>
        <w:t xml:space="preserve">“head”</w:t>
      </w:r>
      <w:r>
        <w:t xml:space="preserve"> </w:t>
      </w:r>
      <w:r>
        <w:t xml:space="preserve">contains everything that visually appears in the header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footer of the printed invoice — customer, payment terms, dates, addresses. Lines are the billable items.</w:t>
      </w:r>
    </w:p>
    <w:p>
      <w:pPr>
        <w:pStyle w:val="BodyText"/>
      </w:pPr>
      <w:r>
        <w:t xml:space="preserve">After posting, the project ledger marks those lines as</w:t>
      </w:r>
      <w:r>
        <w:t xml:space="preserve"> </w:t>
      </w:r>
      <w:r>
        <w:t xml:space="preserve">“invoiced”</w:t>
      </w:r>
      <w:r>
        <w:t xml:space="preserve"> </w:t>
      </w:r>
      <w:r>
        <w:t xml:space="preserve">(a dot/boolean).</w:t>
      </w:r>
      <w:r>
        <w:t xml:space="preserve"> </w:t>
      </w:r>
      <w:r>
        <w:rPr>
          <w:b/>
          <w:bCs/>
        </w:rPr>
        <w:t xml:space="preserve">BC will never invoice the same line twice</w:t>
      </w:r>
      <w:r>
        <w:t xml:space="preserve"> </w:t>
      </w:r>
      <w:r>
        <w:t xml:space="preserve">— this is the core safety net for automation.</w:t>
      </w:r>
    </w:p>
    <w:p>
      <w:pPr>
        <w:pStyle w:val="BodyText"/>
      </w:pPr>
      <w:r>
        <w:t xml:space="preserve">After posting, open Project Statistics for budget vs actual, billable vs non-billable, cost vs revenue, margin.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6" w:name="bookkeeping-fundamentals"/>
    <w:p>
      <w:pPr>
        <w:pStyle w:val="Heading2"/>
      </w:pPr>
      <w:r>
        <w:t xml:space="preserve">5. Bookkeeping fundamentals</w:t>
      </w:r>
    </w:p>
    <w:p>
      <w:pPr>
        <w:pStyle w:val="FirstParagraph"/>
      </w:pPr>
      <w:r>
        <w:rPr>
          <w:i/>
          <w:iCs/>
        </w:rPr>
        <w:t xml:space="preserve">From Morre session, June 2026</w:t>
      </w:r>
    </w:p>
    <w:bookmarkStart w:id="58" w:name="double-entry-always-zero"/>
    <w:p>
      <w:pPr>
        <w:pStyle w:val="Heading3"/>
      </w:pPr>
      <w:r>
        <w:t xml:space="preserve">5.1 Double-entry: always zero</w:t>
      </w:r>
    </w:p>
    <w:p>
      <w:pPr>
        <w:pStyle w:val="FirstParagraph"/>
      </w:pPr>
      <w:r>
        <w:t xml:space="preserve">Every transaction has a plus and a matching minus — the books must always net to zero. This is</w:t>
      </w:r>
      <w:r>
        <w:t xml:space="preserve"> </w:t>
      </w:r>
      <w:r>
        <w:t xml:space="preserve">“double-entry Italian bookkeeping.”</w:t>
      </w:r>
      <w:r>
        <w:t xml:space="preserve"> </w:t>
      </w:r>
      <w:r>
        <w:t xml:space="preserve">Start every transaction by thinking about the bank: did money come in, go out, or stay?</w:t>
      </w:r>
    </w:p>
    <w:p>
      <w:pPr>
        <w:pStyle w:val="BodyText"/>
      </w:pPr>
      <w:r>
        <w:rPr>
          <w:b/>
          <w:bCs/>
        </w:rPr>
        <w:t xml:space="preserve">The sign convention</w:t>
      </w:r>
      <w:r>
        <w:t xml:space="preserve"> </w:t>
      </w:r>
      <w:r>
        <w:t xml:space="preserve">(counterintuitive until you internalise it):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03"/>
        <w:gridCol w:w="596"/>
        <w:gridCol w:w="5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Account type</w:t>
            </w:r>
          </w:p>
        </w:tc>
        <w:tc>
          <w:tcPr/>
          <w:p>
            <w:pPr>
              <w:pStyle w:val="Compact"/>
            </w:pPr>
            <w:r>
              <w:t xml:space="preserve">Sign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 (assets, 1000s)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You have money — makes sense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Liabilities (2000s)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You owe money — balances the asset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(3000s)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A sale puts + in the bank, so the revenue entry must be −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Costs (4000s+)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Paying salary takes − from the bank, so the cost entry is +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 — share capital</w:t>
      </w:r>
      <w:r>
        <w:t xml:space="preserve">: Shareholders invest 100,000. Bank = +100,000, Share Capital = −100,000 (you owe it back). Net = zero.</w:t>
      </w:r>
    </w:p>
    <w:p>
      <w:pPr>
        <w:pStyle w:val="BodyText"/>
      </w:pPr>
      <w:r>
        <w:rPr>
          <w:b/>
          <w:bCs/>
        </w:rPr>
        <w:t xml:space="preserve">Example — salary</w:t>
      </w:r>
      <w:r>
        <w:t xml:space="preserve">: Pay 10,000 salary. Cost = +10,000, Bank = −10,000. Net = zero.</w:t>
      </w:r>
    </w:p>
    <w:p>
      <w:pPr>
        <w:pStyle w:val="BodyText"/>
      </w:pPr>
      <w:r>
        <w:rPr>
          <w:b/>
          <w:bCs/>
        </w:rPr>
        <w:t xml:space="preserve">Example — sale with VAT</w:t>
      </w:r>
      <w:r>
        <w:t xml:space="preserve">: Sell 80,000 + 20% VAT = 100,000 collected. Bank = +100,000, Revenue = −80,000, VAT liability (2640) = −20,000. Net = zero.</w:t>
      </w:r>
    </w:p>
    <w:bookmarkEnd w:id="58"/>
    <w:bookmarkStart w:id="59" w:name="chart-of-accounts-the-number-logic"/>
    <w:p>
      <w:pPr>
        <w:pStyle w:val="Heading3"/>
      </w:pPr>
      <w:r>
        <w:t xml:space="preserve">5.2 Chart of accounts — the number logic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3"/>
        <w:gridCol w:w="1911"/>
        <w:gridCol w:w="637"/>
        <w:gridCol w:w="41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Sign</w:t>
            </w:r>
          </w:p>
        </w:tc>
        <w:tc>
          <w:tcPr/>
          <w:p>
            <w:pPr>
              <w:pStyle w:val="Compact"/>
            </w:pPr>
            <w:r>
              <w:t xml:space="preserve">What lives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1000s</w:t>
            </w:r>
          </w:p>
        </w:tc>
        <w:tc>
          <w:tcPr/>
          <w:p>
            <w:pPr>
              <w:pStyle w:val="Compact"/>
            </w:pPr>
            <w:r>
              <w:t xml:space="preserve">Assets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Bank (1930), fixed assets, receivables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2000s</w:t>
            </w:r>
          </w:p>
        </w:tc>
        <w:tc>
          <w:tcPr/>
          <w:p>
            <w:pPr>
              <w:pStyle w:val="Compact"/>
            </w:pPr>
            <w:r>
              <w:t xml:space="preserve">Liabilities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Loans, VAT payable (2640), share capital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3000s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Sales income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4000s</w:t>
            </w:r>
          </w:p>
        </w:tc>
        <w:tc>
          <w:tcPr/>
          <w:p>
            <w:pPr>
              <w:pStyle w:val="Compact"/>
            </w:pPr>
            <w:r>
              <w:t xml:space="preserve">Cost of goods sold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Costs directly tied to a sale (mirror of 3000s)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5000s–7000s</w:t>
            </w:r>
          </w:p>
        </w:tc>
        <w:tc>
          <w:tcPr/>
          <w:p>
            <w:pPr>
              <w:pStyle w:val="Compact"/>
            </w:pPr>
            <w:r>
              <w:t xml:space="preserve">Operating costs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Salaries, depreciation, rent, etc.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3000/4000 mirror</w:t>
      </w:r>
      <w:r>
        <w:t xml:space="preserve">: Revenue account 3011 (goods revenue) pairs with 4011 (purchase of goods). Same structure — one digit apart. This is deliberate.</w:t>
      </w:r>
    </w:p>
    <w:p>
      <w:pPr>
        <w:pStyle w:val="BodyText"/>
      </w:pPr>
      <w:r>
        <w:rPr>
          <w:b/>
          <w:bCs/>
        </w:rPr>
        <w:t xml:space="preserve">GVH in the 3000s</w:t>
      </w:r>
      <w:r>
        <w:t xml:space="preserve"> </w:t>
      </w:r>
      <w:r>
        <w:t xml:space="preserve">(Tentixo/Formpipe convention):</w:t>
      </w:r>
      <w:r>
        <w:t xml:space="preserve"> </w:t>
      </w:r>
      <w:r>
        <w:t xml:space="preserve">- 30xx — Goods</w:t>
      </w:r>
      <w:r>
        <w:t xml:space="preserve"> </w:t>
      </w:r>
      <w:r>
        <w:t xml:space="preserve">- 31xx — Services (virtual, low-marginal)</w:t>
      </w:r>
      <w:r>
        <w:t xml:space="preserve"> </w:t>
      </w:r>
      <w:r>
        <w:t xml:space="preserve">- 32xx — Human (consulting)</w:t>
      </w:r>
      <w:r>
        <w:t xml:space="preserve"> </w:t>
      </w:r>
      <w:r>
        <w:t xml:space="preserve">- 33xx — Odd sales (one-offs you want separated from core revenue)</w:t>
      </w:r>
    </w:p>
    <w:p>
      <w:pPr>
        <w:pStyle w:val="BodyText"/>
      </w:pPr>
      <w:r>
        <w:rPr>
          <w:b/>
          <w:bCs/>
        </w:rPr>
        <w:t xml:space="preserve">Tree rule</w:t>
      </w:r>
      <w:r>
        <w:t xml:space="preserve">: The chart of accounts is a tree (each account has one parent). If you use granular child accounts, you must not also post to the parent — they overlap. Pick one level.</w:t>
      </w:r>
      <w:r>
        <w:t xml:space="preserve"> </w:t>
      </w:r>
      <w:r>
        <w:rPr>
          <w:i/>
          <w:iCs/>
        </w:rPr>
        <w:t xml:space="preserve">(Formpipe violated this with manual bookings — led to confusion.)</w:t>
      </w:r>
    </w:p>
    <w:bookmarkEnd w:id="59"/>
    <w:bookmarkStart w:id="60" w:name="cost-vs.-investment-fixed-assets"/>
    <w:p>
      <w:pPr>
        <w:pStyle w:val="Heading3"/>
      </w:pPr>
      <w:r>
        <w:t xml:space="preserve">5.3 Cost vs. investment — fixed assets</w:t>
      </w:r>
    </w:p>
    <w:p>
      <w:pPr>
        <w:pStyle w:val="FirstParagraph"/>
      </w:pPr>
      <w:r>
        <w:t xml:space="preserve">Buying something expensive (a building, equipment) is not a cost — it’s converting one asset form (cash) to another (fixed asset). Both stay on the balance sheet:</w:t>
      </w:r>
    </w:p>
    <w:p>
      <w:pPr>
        <w:pStyle w:val="Compact"/>
        <w:numPr>
          <w:ilvl w:val="0"/>
          <w:numId w:val="1009"/>
        </w:numPr>
      </w:pPr>
      <w:r>
        <w:t xml:space="preserve">Bank (1930) = −1,000,000 (cash out)</w:t>
      </w:r>
    </w:p>
    <w:p>
      <w:pPr>
        <w:pStyle w:val="Compact"/>
        <w:numPr>
          <w:ilvl w:val="0"/>
          <w:numId w:val="1009"/>
        </w:numPr>
      </w:pPr>
      <w:r>
        <w:t xml:space="preserve">Fixed Asset (e.g., buildings) = +1,000,000 (value in)</w:t>
      </w:r>
    </w:p>
    <w:p>
      <w:pPr>
        <w:pStyle w:val="FirstParagraph"/>
      </w:pPr>
      <w:r>
        <w:t xml:space="preserve">Net effect on income statement: zero. You looped within the balance sheet.</w:t>
      </w:r>
    </w:p>
    <w:bookmarkEnd w:id="60"/>
    <w:bookmarkStart w:id="61" w:name="depreciation-and-appreciation"/>
    <w:p>
      <w:pPr>
        <w:pStyle w:val="Heading3"/>
      </w:pPr>
      <w:r>
        <w:t xml:space="preserve">5.4 Depreciation and appreciation</w:t>
      </w:r>
    </w:p>
    <w:p>
      <w:pPr>
        <w:pStyle w:val="FirstParagraph"/>
      </w:pPr>
      <w:r>
        <w:rPr>
          <w:b/>
          <w:bCs/>
        </w:rPr>
        <w:t xml:space="preserve">Depreciation</w:t>
      </w:r>
      <w:r>
        <w:t xml:space="preserve">: The asset wears down. Each year, move value from the balance sheet to the income statement:</w:t>
      </w:r>
      <w:r>
        <w:t xml:space="preserve"> </w:t>
      </w:r>
      <w:r>
        <w:t xml:space="preserve">- Fixed Asset = −10,000 (value decreases)</w:t>
      </w:r>
      <w:r>
        <w:t xml:space="preserve"> </w:t>
      </w:r>
      <w:r>
        <w:t xml:space="preserve">- Depreciation cost (e.g., 7821) = +10,000 (cost recognized)</w:t>
      </w:r>
    </w:p>
    <w:p>
      <w:pPr>
        <w:pStyle w:val="BodyText"/>
      </w:pPr>
      <w:r>
        <w:rPr>
          <w:b/>
          <w:bCs/>
        </w:rPr>
        <w:t xml:space="preserve">Appreciation</w:t>
      </w:r>
      <w:r>
        <w:t xml:space="preserve">: A repair increases the asset’s value beyond what was there:</w:t>
      </w:r>
      <w:r>
        <w:t xml:space="preserve"> </w:t>
      </w:r>
      <w:r>
        <w:t xml:space="preserve">- Bank = −20,000 (paid for repair)</w:t>
      </w:r>
      <w:r>
        <w:t xml:space="preserve"> </w:t>
      </w:r>
      <w:r>
        <w:t xml:space="preserve">- Fixed Asset = +20,000 (value increases)</w:t>
      </w:r>
      <w:r>
        <w:t xml:space="preserve"> </w:t>
      </w:r>
      <w:r>
        <w:t xml:space="preserve">- Appreciation account (7xxx) = −20,000 (effectively profit — you created value)</w:t>
      </w:r>
    </w:p>
    <w:bookmarkEnd w:id="61"/>
    <w:bookmarkStart w:id="62" w:name="revenue-recognition-when-did-it-happen"/>
    <w:p>
      <w:pPr>
        <w:pStyle w:val="Heading3"/>
      </w:pPr>
      <w:r>
        <w:t xml:space="preserve">5.5 Revenue recognition — when did it happen?</w:t>
      </w:r>
    </w:p>
    <w:p>
      <w:pPr>
        <w:pStyle w:val="FirstParagraph"/>
      </w:pPr>
      <w:r>
        <w:rPr>
          <w:b/>
          <w:bCs/>
        </w:rPr>
        <w:t xml:space="preserve">Critical distinction</w:t>
      </w:r>
      <w:r>
        <w:t xml:space="preserve"> </w:t>
      </w:r>
      <w:r>
        <w:t xml:space="preserve">(Swedish terms are more precise than English here):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5"/>
        <w:gridCol w:w="950"/>
        <w:gridCol w:w="55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Swedish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Inbetalning</w:t>
            </w:r>
          </w:p>
        </w:tc>
        <w:tc>
          <w:tcPr/>
          <w:p>
            <w:pPr>
              <w:pStyle w:val="Compact"/>
            </w:pPr>
            <w:r>
              <w:t xml:space="preserve">Payment in</w:t>
            </w:r>
          </w:p>
        </w:tc>
        <w:tc>
          <w:tcPr/>
          <w:p>
            <w:pPr>
              <w:pStyle w:val="Compact"/>
            </w:pPr>
            <w:r>
              <w:t xml:space="preserve">Cash hits the bank (balance sheet event)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Intäkt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The earning event — when you can say</w:t>
            </w:r>
            <w:r>
              <w:t xml:space="preserve"> </w:t>
            </w:r>
            <w:r>
              <w:t xml:space="preserve">“I earned this”</w:t>
            </w:r>
            <w:r>
              <w:t xml:space="preserve"> </w:t>
            </w:r>
            <w:r>
              <w:t xml:space="preserve">(income statement event)</w:t>
            </w:r>
          </w:p>
        </w:tc>
      </w:tr>
    </w:tbl>
    <w:p>
      <w:pPr>
        <w:pStyle w:val="BodyText"/>
      </w:pPr>
      <w:r>
        <w:t xml:space="preserve">These are</w:t>
      </w:r>
      <w:r>
        <w:t xml:space="preserve"> </w:t>
      </w:r>
      <w:r>
        <w:rPr>
          <w:b/>
          <w:bCs/>
        </w:rPr>
        <w:t xml:space="preserve">different events at different times</w:t>
      </w:r>
      <w:r>
        <w:t xml:space="preserve">. Getting paid in advance ≠ earning the revenue. Invoicing in June for May work → revenue belongs in May, not June. The income statement cares about</w:t>
      </w:r>
      <w:r>
        <w:t xml:space="preserve"> </w:t>
      </w:r>
      <w:r>
        <w:rPr>
          <w:i/>
          <w:iCs/>
        </w:rPr>
        <w:t xml:space="preserve">when the value was delivered</w:t>
      </w:r>
      <w:r>
        <w:t xml:space="preserve">, not when cash moved.</w:t>
      </w:r>
    </w:p>
    <w:bookmarkEnd w:id="62"/>
    <w:bookmarkStart w:id="63" w:name="Xb728eb8adcac96dc3998f728ec7b7015951ee89"/>
    <w:p>
      <w:pPr>
        <w:pStyle w:val="Heading3"/>
      </w:pPr>
      <w:r>
        <w:t xml:space="preserve">5.6 Work in progress (WIP) and recognized revenue</w:t>
      </w:r>
    </w:p>
    <w:p>
      <w:pPr>
        <w:pStyle w:val="FirstParagraph"/>
      </w:pPr>
      <w:r>
        <w:t xml:space="preserve">IFRS requires showing revenue you know you’ll earn (signed contracts, partially completed projects) — otherwise the company looks undervalued.</w:t>
      </w:r>
    </w:p>
    <w:p>
      <w:pPr>
        <w:pStyle w:val="BodyText"/>
      </w:pPr>
      <w:r>
        <w:rPr>
          <w:b/>
          <w:bCs/>
        </w:rPr>
        <w:t xml:space="preserve">The mechanism</w:t>
      </w:r>
      <w:r>
        <w:t xml:space="preserve">: Book revenue as − (income statement) and a matching + on a</w:t>
      </w:r>
      <w:r>
        <w:t xml:space="preserve"> </w:t>
      </w:r>
      <w:r>
        <w:t xml:space="preserve">“fake bank account”</w:t>
      </w:r>
      <w:r>
        <w:t xml:space="preserve"> </w:t>
      </w:r>
      <w:r>
        <w:t xml:space="preserve">(a WIP/recognized receivable on the balance sheet). When the real invoice goes out, cancel both entries and replace with the real sale + real receivable.</w:t>
      </w:r>
    </w:p>
    <w:p>
      <w:pPr>
        <w:pStyle w:val="BodyText"/>
      </w:pPr>
      <w:r>
        <w:rPr>
          <w:b/>
          <w:bCs/>
        </w:rPr>
        <w:t xml:space="preserve">BC-specific flow</w:t>
      </w:r>
      <w:r>
        <w:t xml:space="preserve">: Project module handles this. Mark project as X% complete → press a button → BC books the WIP entries. When you create the actual invoice, the WIP entries get reversed automatically.</w:t>
      </w:r>
    </w:p>
    <w:p>
      <w:pPr>
        <w:pStyle w:val="BodyText"/>
      </w:pPr>
      <w:r>
        <w:rPr>
          <w:b/>
          <w:bCs/>
        </w:rPr>
        <w:t xml:space="preserve">BC</w:t>
      </w:r>
      <w:r>
        <w:rPr>
          <w:b/>
          <w:bCs/>
        </w:rPr>
        <w:t xml:space="preserve"> </w:t>
      </w:r>
      <w:r>
        <w:rPr>
          <w:b/>
          <w:bCs/>
        </w:rPr>
        <w:t xml:space="preserve">“shipped not invoiced”</w:t>
      </w:r>
      <w:r>
        <w:t xml:space="preserve">: Goods shipped but not yet invoiced sit on a specific account — this is the</w:t>
      </w:r>
      <w:r>
        <w:t xml:space="preserve"> </w:t>
      </w:r>
      <w:r>
        <w:t xml:space="preserve">“fake money”</w:t>
      </w:r>
      <w:r>
        <w:t xml:space="preserve"> </w:t>
      </w:r>
      <w:r>
        <w:t xml:space="preserve">that represents revenue earned but not yet billed.</w:t>
      </w:r>
    </w:p>
    <w:bookmarkEnd w:id="63"/>
    <w:bookmarkStart w:id="64" w:name="X073e1a2d7170e45a20e3db2a793688f097a57ec"/>
    <w:p>
      <w:pPr>
        <w:pStyle w:val="Heading3"/>
      </w:pPr>
      <w:r>
        <w:t xml:space="preserve">5.7 Pre-booked revenue from signed orders (the Formpipe/HubSpot pattern)</w:t>
      </w:r>
    </w:p>
    <w:p>
      <w:pPr>
        <w:pStyle w:val="FirstParagraph"/>
      </w:pPr>
      <w:r>
        <w:t xml:space="preserve">When a firm order is signed (e.g., 12-month contract), BC books forward-looking revenue:</w:t>
      </w:r>
      <w:r>
        <w:t xml:space="preserve"> </w:t>
      </w:r>
      <w:r>
        <w:t xml:space="preserve">1. Signed order creates 12 monthly sales orders in BC</w:t>
      </w:r>
      <w:r>
        <w:t xml:space="preserve"> </w:t>
      </w:r>
      <w:r>
        <w:t xml:space="preserve">2. Each month, order → invoice, which cancels the pre-booking and replaces it with a real entry</w:t>
      </w:r>
      <w:r>
        <w:t xml:space="preserve"> </w:t>
      </w:r>
      <w:r>
        <w:t xml:space="preserve">3. Revenue moves from</w:t>
      </w:r>
      <w:r>
        <w:t xml:space="preserve"> </w:t>
      </w:r>
      <w:r>
        <w:t xml:space="preserve">“recognized/pre-booked”</w:t>
      </w:r>
      <w:r>
        <w:t xml:space="preserve"> </w:t>
      </w:r>
      <w:r>
        <w:t xml:space="preserve">to</w:t>
      </w:r>
      <w:r>
        <w:t xml:space="preserve"> </w:t>
      </w:r>
      <w:r>
        <w:t xml:space="preserve">“actual”</w:t>
      </w:r>
      <w:r>
        <w:t xml:space="preserve"> </w:t>
      </w:r>
      <w:r>
        <w:t xml:space="preserve">one month at a time</w:t>
      </w:r>
    </w:p>
    <w:bookmarkEnd w:id="64"/>
    <w:bookmarkStart w:id="65" w:name="incoterms-when-risk-transfers"/>
    <w:p>
      <w:pPr>
        <w:pStyle w:val="Heading3"/>
      </w:pPr>
      <w:r>
        <w:t xml:space="preserve">5.8 Incoterms — when risk transfers</w:t>
      </w:r>
    </w:p>
    <w:p>
      <w:pPr>
        <w:pStyle w:val="FirstParagraph"/>
      </w:pPr>
      <w:r>
        <w:t xml:space="preserve">For physical goods, the revenue event depends on</w:t>
      </w:r>
      <w:r>
        <w:t xml:space="preserve"> </w:t>
      </w:r>
      <w:r>
        <w:rPr>
          <w:b/>
          <w:bCs/>
        </w:rPr>
        <w:t xml:space="preserve">Incoterms</w:t>
      </w:r>
      <w:r>
        <w:t xml:space="preserve"> </w:t>
      </w:r>
      <w:r>
        <w:t xml:space="preserve">(international trade terms, ~200 years old):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 Works</w:t>
      </w:r>
      <w:r>
        <w:t xml:space="preserve">: risk transfers when buyer picks up the package outside your warehouse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Alongside Ship</w:t>
      </w:r>
      <w:r>
        <w:t xml:space="preserve">: risk transfers at the crane — quay side vs. ship side determines whose insurance pays</w:t>
      </w:r>
    </w:p>
    <w:p>
      <w:pPr>
        <w:pStyle w:val="BodyText"/>
      </w:pPr>
      <w:r>
        <w:t xml:space="preserve">The point: there must be zero ambiguity about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the sale happened. Bookkeeping follows the risk transfer, not the payment.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Xffbb86d14113991902723fc47627f7d958842f8"/>
    <w:p>
      <w:pPr>
        <w:pStyle w:val="Heading2"/>
      </w:pPr>
      <w:r>
        <w:t xml:space="preserve">6. Common gotchas (lessons learned the hard way)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Wrong tenant</w:t>
      </w:r>
      <w:r>
        <w:t xml:space="preserve">: Tentixo company vs Cronus demo. Check top-right tenant selector before anything else.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Inventory item type for services</w:t>
      </w:r>
      <w:r>
        <w:t xml:space="preserve">: triggers negative inventory + valuation drama. Always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 </w:t>
      </w:r>
      <w:r>
        <w:t xml:space="preserve">for what we sell.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Unit Cost vs Unit Price</w:t>
      </w:r>
      <w:r>
        <w:t xml:space="preserve"> </w:t>
      </w:r>
      <w:r>
        <w:t xml:space="preserve">on the Resource card: adjacent fields, easy to confuse. Cost = what I cost the firm; Price = what the firm sells me for.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Hard-coded prices in items</w:t>
      </w:r>
      <w:r>
        <w:t xml:space="preserve">: don’t. Use price lists. Items at 0 (or reference price), overrides on the project/invoice line.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Project Journal columns scrolled off-screen</w:t>
      </w:r>
      <w:r>
        <w:t xml:space="preserve">: Project Journal lines have ~20 columns; only the leftmost fit. Personalize the layout (gear icon → Personalize) and pull Quantity, Unit Price, Line Type into view. Hide irrelevant ones (Location Code).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Job vs Project terminology</w:t>
      </w:r>
      <w:r>
        <w:t xml:space="preserve">: Microsoft renamed Jobs → Projects in BC 2023 wave 1. Older sandboxes/extensions may still say</w:t>
      </w:r>
      <w:r>
        <w:t xml:space="preserve"> </w:t>
      </w:r>
      <w:r>
        <w:t xml:space="preserve">“Job Journal”</w:t>
      </w:r>
      <w:r>
        <w:t xml:space="preserve">. Same functionality.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VAT lookup populates address on one line</w:t>
      </w:r>
      <w:r>
        <w:t xml:space="preserve">: cut/paste into separate fields.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Country/Region = SE is mandatory</w:t>
      </w:r>
      <w:r>
        <w:t xml:space="preserve"> </w:t>
      </w:r>
      <w:r>
        <w:t xml:space="preserve">for VAT validation.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Finalize WIP before closing a project</w:t>
      </w:r>
      <w:r>
        <w:t xml:space="preserve">: If a project is at 90% WIP and you close it without running the final WIP calculation, the cancelling entries don’t fire — you’re left with orphaned WIP postings and manual cleanup. Always run WIP to 100% (or final state) before changing project status to closed.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Don’t mix parent and child accounts in the CoA</w:t>
      </w:r>
      <w:r>
        <w:t xml:space="preserve">: Post to either the summary account or its children, never both. Formpipe did this with manual bookings and it obscured what was what.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Cancelling entry on the wrong account type</w:t>
      </w:r>
      <w:r>
        <w:t xml:space="preserve">: In the Formpipe/Sikri carve-out, a correction for a prepaid contract (2171) was accidentally booked to a post-pay account (1470). Automated code correctly treated it as post-pay, producing a ~500,000 SEK discrepancy. Then a manual fix compounded the error (minus instead of plus — doubling the mistake). Lesson: the account you post to determines how code and reports interpret the entry. A</w:t>
      </w:r>
      <w:r>
        <w:t xml:space="preserve"> </w:t>
      </w:r>
      <w:r>
        <w:t xml:space="preserve">“small”</w:t>
      </w:r>
      <w:r>
        <w:t xml:space="preserve"> </w:t>
      </w:r>
      <w:r>
        <w:t xml:space="preserve">misposting cascades.</w:t>
      </w:r>
    </w:p>
    <w:p>
      <w:r>
        <w:pict>
          <v:rect style="width:0;height:1.5pt" o:hralign="center" o:hrstd="t" o:hr="t"/>
        </w:pict>
      </w:r>
    </w:p>
    <w:bookmarkEnd w:id="67"/>
    <w:bookmarkStart w:id="68" w:name="X60c7679191ae0d018013b784ffe8870c5b66c92"/>
    <w:p>
      <w:pPr>
        <w:pStyle w:val="Heading2"/>
      </w:pPr>
      <w:r>
        <w:t xml:space="preserve">7. Tentixo posting group conventions (sandbox state)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95"/>
        <w:gridCol w:w="63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 type</w:t>
            </w:r>
          </w:p>
        </w:tc>
        <w:tc>
          <w:tcPr/>
          <w:p>
            <w:pPr>
              <w:pStyle w:val="Compact"/>
            </w:pPr>
            <w:r>
              <w:t xml:space="preserve">Codes in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Gen. Bus. Posting 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NATIONAL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VAT Bus. Posting 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Posting 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DOMESTIC</w:t>
            </w:r>
            <w:r>
              <w:t xml:space="preserve"> </w:t>
            </w:r>
            <w:r>
              <w:t xml:space="preserve">(1511 AR),</w:t>
            </w:r>
            <w:r>
              <w:t xml:space="preserve"> </w:t>
            </w:r>
            <w:r>
              <w:rPr>
                <w:rStyle w:val="VerbatimChar"/>
              </w:rPr>
              <w:t xml:space="preserve">INTERCO</w:t>
            </w:r>
            <w:r>
              <w:t xml:space="preserve"> </w:t>
            </w:r>
            <w:r>
              <w:t xml:space="preserve">(1565 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Gen. Prod. Posting 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CONSULTING1</w:t>
            </w:r>
            <w:r>
              <w:t xml:space="preserve"> </w:t>
            </w:r>
            <w:r>
              <w:t xml:space="preserve">(employees),</w:t>
            </w:r>
            <w:r>
              <w:t xml:space="preserve"> </w:t>
            </w:r>
            <w:r>
              <w:rPr>
                <w:rStyle w:val="VerbatimChar"/>
              </w:rPr>
              <w:t xml:space="preserve">CONSULTING2</w:t>
            </w:r>
            <w:r>
              <w:t xml:space="preserve"> </w:t>
            </w:r>
            <w:r>
              <w:t xml:space="preserve">(sub-consultants),</w:t>
            </w:r>
            <w:r>
              <w:t xml:space="preserve"> </w:t>
            </w:r>
            <w:r>
              <w:rPr>
                <w:rStyle w:val="VerbatimChar"/>
              </w:rPr>
              <w:t xml:space="preserve">CONSULTING3</w:t>
            </w:r>
            <w:r>
              <w:t xml:space="preserve"> </w:t>
            </w:r>
            <w:r>
              <w:t xml:space="preserve">(training, cost-only),</w:t>
            </w:r>
            <w:r>
              <w:t xml:space="preserve"> </w:t>
            </w:r>
            <w:r>
              <w:rPr>
                <w:rStyle w:val="VerbatimChar"/>
              </w:rPr>
              <w:t xml:space="preserve">SERVICES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VAT Prod. Posting 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VAT25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VAT12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VAT6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VAT0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Posting Group</w:t>
            </w:r>
          </w:p>
        </w:tc>
        <w:tc>
          <w:tcPr/>
          <w:p>
            <w:pPr>
              <w:pStyle w:val="Compact"/>
            </w:pPr>
            <w:r>
              <w:t xml:space="preserve">(consulting-aligned, with WIP account)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CONSULTING tiers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CONSULTING1</w:t>
      </w:r>
      <w:r>
        <w:t xml:space="preserve"> </w:t>
      </w:r>
      <w:r>
        <w:t xml:space="preserve">— employees (highest margin)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CONSULTING2</w:t>
      </w:r>
      <w:r>
        <w:t xml:space="preserve"> </w:t>
      </w:r>
      <w:r>
        <w:t xml:space="preserve">— sub-consultants (e.g., Jeff)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CONSULTING3</w:t>
      </w:r>
      <w:r>
        <w:t xml:space="preserve"> </w:t>
      </w:r>
      <w:r>
        <w:t xml:space="preserve">— consultants in training (cost only, not sold)</w:t>
      </w:r>
    </w:p>
    <w:p>
      <w:r>
        <w:pict>
          <v:rect style="width:0;height:1.5pt" o:hralign="center" o:hrstd="t" o:hr="t"/>
        </w:pict>
      </w:r>
    </w:p>
    <w:bookmarkEnd w:id="68"/>
    <w:bookmarkStart w:id="69" w:name="terminology-cheat-sheet-en-sv"/>
    <w:p>
      <w:pPr>
        <w:pStyle w:val="Heading2"/>
      </w:pPr>
      <w:r>
        <w:t xml:space="preserve">8. Terminology cheat sheet (EN ↔ SV)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75"/>
        <w:gridCol w:w="2048"/>
        <w:gridCol w:w="40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Swedish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 of Accounts</w:t>
            </w:r>
          </w:p>
        </w:tc>
        <w:tc>
          <w:tcPr/>
          <w:p>
            <w:pPr>
              <w:pStyle w:val="Compact"/>
            </w:pPr>
            <w:r>
              <w:t xml:space="preserve">Kontoplan</w:t>
            </w:r>
          </w:p>
        </w:tc>
        <w:tc>
          <w:tcPr/>
          <w:p>
            <w:pPr>
              <w:pStyle w:val="Compact"/>
            </w:pPr>
            <w:r>
              <w:t xml:space="preserve">BAS-kontoplan is the Swedish 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Posting Group</w:t>
            </w:r>
          </w:p>
        </w:tc>
        <w:tc>
          <w:tcPr/>
          <w:p>
            <w:pPr>
              <w:pStyle w:val="Compact"/>
            </w:pPr>
            <w:r>
              <w:t xml:space="preserve">Bokföringsmall</w:t>
            </w:r>
          </w:p>
        </w:tc>
        <w:tc>
          <w:tcPr/>
          <w:p>
            <w:pPr>
              <w:pStyle w:val="Compact"/>
            </w:pPr>
            <w:r>
              <w:t xml:space="preserve">Often kept in English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 Posting Setup</w:t>
            </w:r>
          </w:p>
        </w:tc>
        <w:tc>
          <w:tcPr/>
          <w:p>
            <w:pPr>
              <w:pStyle w:val="Compact"/>
            </w:pPr>
            <w:r>
              <w:t xml:space="preserve">Allmän bokföringsinställning</w:t>
            </w:r>
          </w:p>
        </w:tc>
        <w:tc>
          <w:tcPr/>
          <w:p>
            <w:pPr>
              <w:pStyle w:val="Compact"/>
            </w:pPr>
            <w:r>
              <w:t xml:space="preserve">The WHO×WHAT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Posting Group</w:t>
            </w:r>
          </w:p>
        </w:tc>
        <w:tc>
          <w:tcPr/>
          <w:p>
            <w:pPr>
              <w:pStyle w:val="Compact"/>
            </w:pPr>
            <w:r>
              <w:t xml:space="preserve">Kundbokföringsmall</w:t>
            </w:r>
          </w:p>
        </w:tc>
        <w:tc>
          <w:tcPr/>
          <w:p>
            <w:pPr>
              <w:pStyle w:val="Compact"/>
            </w:pPr>
            <w:r>
              <w:t xml:space="preserve">Drives AR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Artikel</w:t>
            </w:r>
          </w:p>
        </w:tc>
        <w:tc>
          <w:tcPr/>
          <w:p>
            <w:pPr>
              <w:pStyle w:val="Compact"/>
            </w:pPr>
            <w:r>
              <w:t xml:space="preserve">Service-type for consulting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Resurs</w:t>
            </w:r>
          </w:p>
        </w:tc>
        <w:tc>
          <w:tcPr/>
          <w:p>
            <w:pPr>
              <w:pStyle w:val="Compact"/>
            </w:pPr>
            <w:r>
              <w:t xml:space="preserve">Type=Person for consultants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(was: Job)</w:t>
            </w:r>
          </w:p>
        </w:tc>
        <w:tc>
          <w:tcPr/>
          <w:p>
            <w:pPr>
              <w:pStyle w:val="Compact"/>
            </w:pPr>
            <w:r>
              <w:t xml:space="preserve">Projekt</w:t>
            </w:r>
          </w:p>
        </w:tc>
        <w:tc>
          <w:tcPr/>
          <w:p>
            <w:pPr>
              <w:pStyle w:val="Compact"/>
            </w:pPr>
            <w:r>
              <w:t xml:space="preserve">Renamed BC 2023 wave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Journal</w:t>
            </w:r>
          </w:p>
        </w:tc>
        <w:tc>
          <w:tcPr/>
          <w:p>
            <w:pPr>
              <w:pStyle w:val="Compact"/>
            </w:pPr>
            <w:r>
              <w:t xml:space="preserve">Projektjournal</w:t>
            </w:r>
          </w:p>
        </w:tc>
        <w:tc>
          <w:tcPr/>
          <w:p>
            <w:pPr>
              <w:pStyle w:val="Compact"/>
            </w:pPr>
            <w:r>
              <w:t xml:space="preserve">Where hours/items hit the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Ledger</w:t>
            </w:r>
          </w:p>
        </w:tc>
        <w:tc>
          <w:tcPr/>
          <w:p>
            <w:pPr>
              <w:pStyle w:val="Compact"/>
            </w:pPr>
            <w:r>
              <w:t xml:space="preserve">Projektreskontra</w:t>
            </w:r>
          </w:p>
        </w:tc>
        <w:tc>
          <w:tcPr/>
          <w:p>
            <w:pPr>
              <w:pStyle w:val="Compact"/>
            </w:pPr>
            <w:r>
              <w:t xml:space="preserve">The transaction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WIP</w:t>
            </w:r>
          </w:p>
        </w:tc>
        <w:tc>
          <w:tcPr/>
          <w:p>
            <w:pPr>
              <w:pStyle w:val="Compact"/>
            </w:pPr>
            <w:r>
              <w:t xml:space="preserve">PIA (Pågående arbete)</w:t>
            </w:r>
          </w:p>
        </w:tc>
        <w:tc>
          <w:tcPr/>
          <w:p>
            <w:pPr>
              <w:pStyle w:val="Compact"/>
            </w:pPr>
            <w:r>
              <w:t xml:space="preserve">Work in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Registration No.</w:t>
            </w:r>
          </w:p>
        </w:tc>
        <w:tc>
          <w:tcPr/>
          <w:p>
            <w:pPr>
              <w:pStyle w:val="Compact"/>
            </w:pPr>
            <w:r>
              <w:t xml:space="preserve">Organisationsnummer</w:t>
            </w:r>
          </w:p>
        </w:tc>
        <w:tc>
          <w:tcPr/>
          <w:p>
            <w:pPr>
              <w:pStyle w:val="Compact"/>
            </w:pPr>
            <w:r>
              <w:t xml:space="preserve">Bolagsverket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VAT Registration No.</w:t>
            </w:r>
          </w:p>
        </w:tc>
        <w:tc>
          <w:tcPr/>
          <w:p>
            <w:pPr>
              <w:pStyle w:val="Compact"/>
            </w:pPr>
            <w:r>
              <w:t xml:space="preserve">Momsregistreringsnummer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</w:t>
            </w:r>
            <w:r>
              <w:t xml:space="preserve"> </w:t>
            </w:r>
            <w:r>
              <w:t xml:space="preserve">+ org.nr +</w:t>
            </w:r>
            <w:r>
              <w:t xml:space="preserve"> </w:t>
            </w:r>
            <w:r>
              <w:rPr>
                <w:rStyle w:val="VerbatimChar"/>
              </w:rPr>
              <w:t xml:space="preserve">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 Scheme</w:t>
            </w:r>
          </w:p>
        </w:tc>
        <w:tc>
          <w:tcPr/>
          <w:p>
            <w:pPr>
              <w:pStyle w:val="Compact"/>
            </w:pPr>
            <w:r>
              <w:t xml:space="preserve">Identifierarschema</w:t>
            </w:r>
          </w:p>
        </w:tc>
        <w:tc>
          <w:tcPr/>
          <w:p>
            <w:pPr>
              <w:pStyle w:val="Compact"/>
            </w:pPr>
            <w:r>
              <w:t xml:space="preserve">Peppol e-invoicing identifier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EORI</w:t>
            </w:r>
          </w:p>
        </w:tc>
        <w:tc>
          <w:tcPr/>
          <w:p>
            <w:pPr>
              <w:pStyle w:val="Compact"/>
            </w:pPr>
            <w:r>
              <w:t xml:space="preserve">EORI</w:t>
            </w:r>
          </w:p>
        </w:tc>
        <w:tc>
          <w:tcPr/>
          <w:p>
            <w:pPr>
              <w:pStyle w:val="Compact"/>
            </w:pPr>
            <w:r>
              <w:t xml:space="preserve">EU customs ID — services don’t need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T&amp;M</w:t>
            </w:r>
          </w:p>
        </w:tc>
        <w:tc>
          <w:tcPr/>
          <w:p>
            <w:pPr>
              <w:pStyle w:val="Compact"/>
            </w:pPr>
            <w:r>
              <w:t xml:space="preserve">Löpande räkning</w:t>
            </w:r>
          </w:p>
        </w:tc>
        <w:tc>
          <w:tcPr/>
          <w:p>
            <w:pPr>
              <w:pStyle w:val="Compact"/>
            </w:pPr>
            <w:r>
              <w:t xml:space="preserve">Modern usage often just</w:t>
            </w:r>
            <w:r>
              <w:t xml:space="preserve"> </w:t>
            </w:r>
            <w:r>
              <w:t xml:space="preserve">“T&amp;M”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Retainer</w:t>
            </w:r>
          </w:p>
        </w:tc>
        <w:tc>
          <w:tcPr/>
          <w:p>
            <w:pPr>
              <w:pStyle w:val="Compact"/>
            </w:pPr>
            <w:r>
              <w:t xml:space="preserve">Retainer-avtal</w:t>
            </w:r>
          </w:p>
        </w:tc>
        <w:tc>
          <w:tcPr/>
          <w:p>
            <w:pPr>
              <w:pStyle w:val="Compact"/>
            </w:pPr>
            <w:r>
              <w:t xml:space="preserve">Modern Swedish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Double-entry bookkeeping</w:t>
            </w:r>
          </w:p>
        </w:tc>
        <w:tc>
          <w:tcPr/>
          <w:p>
            <w:pPr>
              <w:pStyle w:val="Compact"/>
            </w:pPr>
            <w:r>
              <w:t xml:space="preserve">Dubbel bokföring</w:t>
            </w:r>
          </w:p>
        </w:tc>
        <w:tc>
          <w:tcPr/>
          <w:p>
            <w:pPr>
              <w:pStyle w:val="Compact"/>
            </w:pPr>
            <w:r>
              <w:t xml:space="preserve">Italian origin — every entry needs a balancing counter-entry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</w:pPr>
            <w:r>
              <w:t xml:space="preserve">Balansräkning</w:t>
            </w:r>
          </w:p>
        </w:tc>
        <w:tc>
          <w:tcPr/>
          <w:p>
            <w:pPr>
              <w:pStyle w:val="Compact"/>
            </w:pPr>
            <w:r>
              <w:t xml:space="preserve">Assets (1000s) and liabilities (2000s) — must net to zero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</w:pPr>
            <w:r>
              <w:t xml:space="preserve">Resultaträkning</w:t>
            </w:r>
          </w:p>
        </w:tc>
        <w:tc>
          <w:tcPr/>
          <w:p>
            <w:pPr>
              <w:pStyle w:val="Compact"/>
            </w:pPr>
            <w:r>
              <w:t xml:space="preserve">Revenue (3000s) and costs (4000s+) — profit and 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(the event)</w:t>
            </w:r>
          </w:p>
        </w:tc>
        <w:tc>
          <w:tcPr/>
          <w:p>
            <w:pPr>
              <w:pStyle w:val="Compact"/>
            </w:pPr>
            <w:r>
              <w:t xml:space="preserve">Intäkt</w:t>
            </w:r>
          </w:p>
        </w:tc>
        <w:tc>
          <w:tcPr/>
          <w:p>
            <w:pPr>
              <w:pStyle w:val="Compact"/>
            </w:pPr>
            <w:r>
              <w:t xml:space="preserve">When you earned it — not when cash arrived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in</w:t>
            </w:r>
          </w:p>
        </w:tc>
        <w:tc>
          <w:tcPr/>
          <w:p>
            <w:pPr>
              <w:pStyle w:val="Compact"/>
            </w:pPr>
            <w:r>
              <w:t xml:space="preserve">Inbetalning</w:t>
            </w:r>
          </w:p>
        </w:tc>
        <w:tc>
          <w:tcPr/>
          <w:p>
            <w:pPr>
              <w:pStyle w:val="Compact"/>
            </w:pPr>
            <w:r>
              <w:t xml:space="preserve">When cash actually hits the bank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Depreciation</w:t>
            </w:r>
          </w:p>
        </w:tc>
        <w:tc>
          <w:tcPr/>
          <w:p>
            <w:pPr>
              <w:pStyle w:val="Compact"/>
            </w:pPr>
            <w:r>
              <w:t xml:space="preserve">Avskrivning</w:t>
            </w:r>
          </w:p>
        </w:tc>
        <w:tc>
          <w:tcPr/>
          <w:p>
            <w:pPr>
              <w:pStyle w:val="Compact"/>
            </w:pPr>
            <w:r>
              <w:t xml:space="preserve">Annual write-down of fixed asset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Appreciation</w:t>
            </w:r>
          </w:p>
        </w:tc>
        <w:tc>
          <w:tcPr/>
          <w:p>
            <w:pPr>
              <w:pStyle w:val="Compact"/>
            </w:pPr>
            <w:r>
              <w:t xml:space="preserve">Uppskrivning</w:t>
            </w:r>
          </w:p>
        </w:tc>
        <w:tc>
          <w:tcPr/>
          <w:p>
            <w:pPr>
              <w:pStyle w:val="Compact"/>
            </w:pPr>
            <w:r>
              <w:t xml:space="preserve">Increase in asset value (e.g., renovation)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asset</w:t>
            </w:r>
          </w:p>
        </w:tc>
        <w:tc>
          <w:tcPr/>
          <w:p>
            <w:pPr>
              <w:pStyle w:val="Compact"/>
            </w:pPr>
            <w:r>
              <w:t xml:space="preserve">Anläggningstillgång</w:t>
            </w:r>
          </w:p>
        </w:tc>
        <w:tc>
          <w:tcPr/>
          <w:p>
            <w:pPr>
              <w:pStyle w:val="Compact"/>
            </w:pPr>
            <w:r>
              <w:t xml:space="preserve">Long-lived asset on balance sheet, not expensed immediately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Recognized revenue</w:t>
            </w:r>
          </w:p>
        </w:tc>
        <w:tc>
          <w:tcPr/>
          <w:p>
            <w:pPr>
              <w:pStyle w:val="Compact"/>
            </w:pPr>
            <w:r>
              <w:t xml:space="preserve">Upparbetad intäkt</w:t>
            </w:r>
          </w:p>
        </w:tc>
        <w:tc>
          <w:tcPr/>
          <w:p>
            <w:pPr>
              <w:pStyle w:val="Compact"/>
            </w:pPr>
            <w:r>
              <w:t xml:space="preserve">Revenue booked before invoicing (WIP / IFRS requirement)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Shipped not invoiced</w:t>
            </w:r>
          </w:p>
        </w:tc>
        <w:tc>
          <w:tcPr/>
          <w:p>
            <w:pPr>
              <w:pStyle w:val="Compact"/>
            </w:pPr>
            <w:r>
              <w:t xml:space="preserve">Levererat ej fakturerat</w:t>
            </w:r>
          </w:p>
        </w:tc>
        <w:tc>
          <w:tcPr/>
          <w:p>
            <w:pPr>
              <w:pStyle w:val="Compact"/>
            </w:pPr>
            <w:r>
              <w:t xml:space="preserve">Goods/services delivered but invoice not yet 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Incoterms</w:t>
            </w:r>
          </w:p>
        </w:tc>
        <w:tc>
          <w:tcPr/>
          <w:p>
            <w:pPr>
              <w:pStyle w:val="Compact"/>
            </w:pPr>
            <w:r>
              <w:t xml:space="preserve">Incoterms</w:t>
            </w:r>
          </w:p>
        </w:tc>
        <w:tc>
          <w:tcPr/>
          <w:p>
            <w:pPr>
              <w:pStyle w:val="Compact"/>
            </w:pPr>
            <w:r>
              <w:t xml:space="preserve">International trade terms defining when risk transfers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Prepaid</w:t>
            </w:r>
          </w:p>
        </w:tc>
        <w:tc>
          <w:tcPr/>
          <w:p>
            <w:pPr>
              <w:pStyle w:val="Compact"/>
            </w:pPr>
            <w:r>
              <w:t xml:space="preserve">Förskottsbetald</w:t>
            </w:r>
          </w:p>
        </w:tc>
        <w:tc>
          <w:tcPr/>
          <w:p>
            <w:pPr>
              <w:pStyle w:val="Compact"/>
            </w:pPr>
            <w:r>
              <w:t xml:space="preserve">Payment received before service delivered (liability until earned)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Electronic service</w:t>
            </w:r>
          </w:p>
        </w:tc>
        <w:tc>
          <w:tcPr/>
          <w:p>
            <w:pPr>
              <w:pStyle w:val="Compact"/>
            </w:pPr>
            <w:r>
              <w:t xml:space="preserve">Elektronisk tjänst</w:t>
            </w:r>
          </w:p>
        </w:tc>
        <w:tc>
          <w:tcPr/>
          <w:p>
            <w:pPr>
              <w:pStyle w:val="Compact"/>
            </w:pPr>
            <w:r>
              <w:t xml:space="preserve">VAT subcategory of Virtual — self-serve, no human involvement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Journal batch</w:t>
            </w:r>
          </w:p>
        </w:tc>
        <w:tc>
          <w:tcPr/>
          <w:p>
            <w:pPr>
              <w:pStyle w:val="Compact"/>
            </w:pPr>
            <w:r>
              <w:t xml:space="preserve">Journalgrupp</w:t>
            </w:r>
          </w:p>
        </w:tc>
        <w:tc>
          <w:tcPr/>
          <w:p>
            <w:pPr>
              <w:pStyle w:val="Compact"/>
            </w:pPr>
            <w:r>
              <w:t xml:space="preserve">Envelope for journal entries; separate batches for API vs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Unit of Measure</w:t>
            </w:r>
          </w:p>
        </w:tc>
        <w:tc>
          <w:tcPr/>
          <w:p>
            <w:pPr>
              <w:pStyle w:val="Compact"/>
            </w:pPr>
            <w:r>
              <w:t xml:space="preserve">Basenhet</w:t>
            </w:r>
          </w:p>
        </w:tc>
        <w:tc>
          <w:tcPr/>
          <w:p>
            <w:pPr>
              <w:pStyle w:val="Compact"/>
            </w:pPr>
            <w:r>
              <w:t xml:space="preserve">International code matters for e-invoicing (EA = each, not PCS)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useful-shortcuts"/>
    <w:p>
      <w:pPr>
        <w:pStyle w:val="Heading2"/>
      </w:pPr>
      <w:r>
        <w:t xml:space="preserve">9. Useful shortcuts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54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Shortcut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Alt+Q</w:t>
            </w:r>
          </w:p>
        </w:tc>
        <w:tc>
          <w:tcPr/>
          <w:p>
            <w:pPr>
              <w:pStyle w:val="Compact"/>
            </w:pPr>
            <w:r>
              <w:t xml:space="preserve">Tell Me search (find any page/action)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Statistics on current document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F9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</w:t>
            </w:r>
            <w:r>
              <w:t xml:space="preserve"> </w:t>
            </w:r>
            <w:r>
              <w:t xml:space="preserve">+ Tab (in date field)</w:t>
            </w:r>
          </w:p>
        </w:tc>
        <w:tc>
          <w:tcPr/>
          <w:p>
            <w:pPr>
              <w:pStyle w:val="Compact"/>
            </w:pPr>
            <w:r>
              <w:t xml:space="preserve">Today’s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Gear icon → Personalize</w:t>
            </w:r>
          </w:p>
        </w:tc>
        <w:tc>
          <w:tcPr/>
          <w:p>
            <w:pPr>
              <w:pStyle w:val="Compact"/>
            </w:pPr>
            <w:r>
              <w:t xml:space="preserve">Customise column layout per page (per user, safe to change)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Right-click column header</w:t>
            </w:r>
          </w:p>
        </w:tc>
        <w:tc>
          <w:tcPr/>
          <w:p>
            <w:pPr>
              <w:pStyle w:val="Compact"/>
            </w:pPr>
            <w:r>
              <w:t xml:space="preserve">Hide / re-order columns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Renumber Document Numbers</w:t>
            </w:r>
          </w:p>
        </w:tc>
        <w:tc>
          <w:tcPr/>
          <w:p>
            <w:pPr>
              <w:pStyle w:val="Compact"/>
            </w:pPr>
            <w:r>
              <w:t xml:space="preserve">Action in journals to fix numbering gaps after batch work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3" w:name="active-client-status"/>
    <w:p>
      <w:pPr>
        <w:pStyle w:val="Heading2"/>
      </w:pPr>
      <w:r>
        <w:t xml:space="preserve">10. Active client status</w:t>
      </w:r>
    </w:p>
    <w:bookmarkStart w:id="71" w:name="tinky-minds-lab-ab"/>
    <w:p>
      <w:pPr>
        <w:pStyle w:val="Heading3"/>
      </w:pPr>
      <w:r>
        <w:t xml:space="preserve">Tinky Minds Lab AB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Engagement</w:t>
      </w:r>
      <w:r>
        <w:t xml:space="preserve">: Heat Map project (incl. 2 workshops), agreed 18,000 SEK ex moms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Customer card</w:t>
      </w:r>
      <w:r>
        <w:t xml:space="preserve">: created in Tentixo sandbox. VAT validated, address populated (had to cut/paste from one-line VAT lookup). Country/Region SE set.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Contact card</w:t>
      </w:r>
      <w:r>
        <w:t xml:space="preserve">: auto-created from customer. Person contacts to be added.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Item</w:t>
      </w:r>
      <w:r>
        <w:t xml:space="preserve">:</w:t>
      </w:r>
      <w:r>
        <w:t xml:space="preserve"> </w:t>
      </w:r>
      <w:r>
        <w:rPr>
          <w:rStyle w:val="VerbatimChar"/>
        </w:rPr>
        <w:t xml:space="preserve">HM-LITE</w:t>
      </w:r>
      <w:r>
        <w:t xml:space="preserve">, Service type, CONSULTING1, VAT25, Unit Price = 0 (override on invoice)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Resource</w:t>
      </w:r>
      <w:r>
        <w:t xml:space="preserve">: Chris (Person, HOUR, CONSULTING1, VAT25, cost 560, price 1400)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Employee</w:t>
      </w:r>
      <w:r>
        <w:t xml:space="preserve">: Chris — record exists, linked to Resource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Project</w:t>
      </w:r>
      <w:r>
        <w:t xml:space="preserve">: linked to Tinky, one task (</w:t>
      </w:r>
      <w:r>
        <w:rPr>
          <w:rStyle w:val="VerbatimChar"/>
        </w:rPr>
        <w:t xml:space="preserve">ITSEC</w:t>
      </w:r>
      <w:r>
        <w:t xml:space="preserve">). Person Responsible = Chris (from Contacts). WIP method = Sales Value.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Status</w:t>
      </w:r>
      <w:r>
        <w:t xml:space="preserve">:</w:t>
      </w:r>
      <w:r>
        <w:t xml:space="preserve"> </w:t>
      </w:r>
      <w:r>
        <w:rPr>
          <w:b/>
          <w:bCs/>
        </w:rPr>
        <w:t xml:space="preserve">First invoice posted</w:t>
      </w:r>
      <w:r>
        <w:t xml:space="preserve"> </w:t>
      </w:r>
      <w:r>
        <w:t xml:space="preserve">(May 27, 2026). Item line: 1× HM-LITE @ 18,000 SEK. Posted to ledger, visible in posted sales invoices.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Open question</w:t>
      </w:r>
      <w:r>
        <w:t xml:space="preserve">: keep as catalogue SKU (HM-LITE with override pricing) or as one-off custom item? Morre says keep same item, override price via price lists — don’t lock pricing into the item.</w:t>
      </w:r>
    </w:p>
    <w:bookmarkEnd w:id="71"/>
    <w:bookmarkStart w:id="72" w:name="formpipe-timelog-discovery"/>
    <w:p>
      <w:pPr>
        <w:pStyle w:val="Heading3"/>
      </w:pPr>
      <w:r>
        <w:t xml:space="preserve">Formpipe — TimeLog discovery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Engagement</w:t>
      </w:r>
      <w:r>
        <w:t xml:space="preserve">: BC-support contract, optimise finance ops for October 2026 new tenant cutover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Tactical approach</w:t>
      </w:r>
      <w:r>
        <w:t xml:space="preserve"> </w:t>
      </w:r>
      <w:r>
        <w:t xml:space="preserve">(Morre):</w:t>
      </w:r>
      <w:r>
        <w:t xml:space="preserve"> </w:t>
      </w:r>
      <w:r>
        <w:t xml:space="preserve">“We get the freedom, we interview people, set it up the way we want, then show them the granularity they can gain.”</w:t>
      </w:r>
      <w:r>
        <w:t xml:space="preserve"> </w:t>
      </w:r>
      <w:r>
        <w:t xml:space="preserve">Don’t argue the architectural layer with the client — know it, implement it, demonstrate the value. Get CFO-level buy-in for structural changes; don’t try to push bottom-up.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Discovery meeting 27 May 2026</w:t>
      </w:r>
      <w:r>
        <w:t xml:space="preserve">: Therese Baly (Project Controller, Finance)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Key findings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No TimeLog ↔ BC integration</w:t>
      </w:r>
      <w:r>
        <w:t xml:space="preserve">. Manual PDF + Teams chat + Finance re-keys into BC. TimeLog may have had a BC integration partially configured but never completed.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No customer key mapping</w:t>
      </w:r>
      <w:r>
        <w:t xml:space="preserve">. Names diverge; no org.nr linkage. Greenfield mapping needed. Morre needs a two-column table (TimeLog customer ID ↔ BC customer No.) for automation.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~100% T&amp;M</w:t>
      </w:r>
      <w:r>
        <w:t xml:space="preserve"> </w:t>
      </w:r>
      <w:r>
        <w:t xml:space="preserve">in TimeLog. Licenses via Younium (separate). Fixed-price hacked as T&amp;M @ 1000 SEK/h avg.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Excel-based retainer reservation tracking</w:t>
      </w:r>
      <w:r>
        <w:t xml:space="preserve"> </w:t>
      </w:r>
      <w:r>
        <w:t xml:space="preserve">is the highest-risk manual process. Retainers are pre-invoiced; overages billed the following month.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Internal/non-billable projects invisible to Finance</w:t>
      </w:r>
      <w:r>
        <w:t xml:space="preserve"> </w:t>
      </w:r>
      <w:r>
        <w:t xml:space="preserve">(live only in TimeLog). Key question: do they have non-invoiceable lines (e.g., project entertainment costs)?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Late hour reporting</w:t>
      </w:r>
      <w:r>
        <w:t xml:space="preserve"> </w:t>
      </w:r>
      <w:r>
        <w:t xml:space="preserve">is a real issue — need to understand how often hours arrive months late and how that affects invoicing.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Denmark is the political blocker</w:t>
      </w:r>
      <w:r>
        <w:t xml:space="preserve"> </w:t>
      </w:r>
      <w:r>
        <w:t xml:space="preserve">(runs payroll in TimeLog). Sweden wants out.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Therese is change-receptive</w:t>
      </w:r>
      <w:r>
        <w:t xml:space="preserve">. Already worked with Gustav Kinnander (</w:t>
      </w:r>
      <w:r>
        <w:t xml:space="preserve">“Gurra”</w:t>
      </w:r>
      <w:r>
        <w:t xml:space="preserve">) on a near-shipped BC time-reporting solution.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TimeLog has project management features</w:t>
      </w:r>
      <w:r>
        <w:t xml:space="preserve"> </w:t>
      </w:r>
      <w:r>
        <w:t xml:space="preserve">(Gantt, milestones, task planning) beyond just time reporting — someone may depend on these.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What Morre needs for API automation</w:t>
      </w:r>
      <w:r>
        <w:t xml:space="preserve">: How hours map to invoice lines (the</w:t>
      </w:r>
      <w:r>
        <w:t xml:space="preserve"> </w:t>
      </w:r>
      <w:r>
        <w:t xml:space="preserve">“fakturaunderlag”</w:t>
      </w:r>
      <w:r>
        <w:t xml:space="preserve">), contract types (T&amp;M vs fixed, pre-pay vs post-pay), and whether there’s a super-user who plans all projects in TimeLog.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Next steps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Follow-up with Therese for sample</w:t>
      </w:r>
      <w:r>
        <w:t xml:space="preserve"> </w:t>
      </w:r>
      <w:r>
        <w:rPr>
          <w:rStyle w:val="VerbatimChar"/>
        </w:rPr>
        <w:t xml:space="preserve">fakturaunderlag</w:t>
      </w:r>
      <w:r>
        <w:t xml:space="preserve"> </w:t>
      </w:r>
      <w:r>
        <w:t xml:space="preserve">PDFs</w:t>
      </w:r>
    </w:p>
    <w:p>
      <w:pPr>
        <w:pStyle w:val="Compact"/>
        <w:numPr>
          <w:ilvl w:val="1"/>
          <w:numId w:val="1014"/>
        </w:numPr>
      </w:pPr>
      <w:r>
        <w:t xml:space="preserve">Excavate the Gurra-Therese BC solution that almost shipped</w:t>
      </w:r>
    </w:p>
    <w:p>
      <w:pPr>
        <w:pStyle w:val="Compact"/>
        <w:numPr>
          <w:ilvl w:val="1"/>
          <w:numId w:val="1014"/>
        </w:numPr>
      </w:pPr>
      <w:r>
        <w:t xml:space="preserve">Decide whether to talk to Finance (hand-keying team) and STG BI/reporting team</w:t>
      </w:r>
    </w:p>
    <w:p>
      <w:pPr>
        <w:pStyle w:val="Compact"/>
        <w:numPr>
          <w:ilvl w:val="1"/>
          <w:numId w:val="1014"/>
        </w:numPr>
      </w:pPr>
      <w:r>
        <w:t xml:space="preserve">Decide DK scope (carve out or address)</w:t>
      </w:r>
    </w:p>
    <w:p>
      <w:pPr>
        <w:pStyle w:val="Compact"/>
        <w:numPr>
          <w:ilvl w:val="1"/>
          <w:numId w:val="1014"/>
        </w:numPr>
      </w:pPr>
      <w:r>
        <w:t xml:space="preserve">Get customer ID mapping table (or determine it doesn’t exist yet)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open-questions-things-to-learn-next"/>
    <w:p>
      <w:pPr>
        <w:pStyle w:val="Heading2"/>
      </w:pPr>
      <w:r>
        <w:t xml:space="preserve">11. Open questions / things to learn next</w:t>
      </w:r>
    </w:p>
    <w:p>
      <w:pPr>
        <w:pStyle w:val="Compact"/>
        <w:numPr>
          <w:ilvl w:val="0"/>
          <w:numId w:val="1015"/>
        </w:numPr>
      </w:pPr>
      <w:r>
        <w:t xml:space="preserve">Project Posting Groups in depth — WIP completion methods, when each fires, how to avoid the</w:t>
      </w:r>
      <w:r>
        <w:t xml:space="preserve"> </w:t>
      </w:r>
      <w:r>
        <w:t xml:space="preserve">“close without final WIP”</w:t>
      </w:r>
      <w:r>
        <w:t xml:space="preserve"> </w:t>
      </w:r>
      <w:r>
        <w:t xml:space="preserve">trap</w:t>
      </w:r>
      <w:r>
        <w:t xml:space="preserve"> </w:t>
      </w:r>
      <w:r>
        <w:rPr>
          <w:i/>
          <w:iCs/>
        </w:rPr>
        <w:t xml:space="preserve">(partially covered in §5.6 — need hands-on practice)</w:t>
      </w:r>
    </w:p>
    <w:p>
      <w:pPr>
        <w:pStyle w:val="Compact"/>
        <w:numPr>
          <w:ilvl w:val="0"/>
          <w:numId w:val="1015"/>
        </w:numPr>
      </w:pPr>
      <w:r>
        <w:t xml:space="preserve">Recurring billing in BC (Younium replacement question) — what BC offers natively</w:t>
      </w:r>
    </w:p>
    <w:p>
      <w:pPr>
        <w:pStyle w:val="Compact"/>
        <w:numPr>
          <w:ilvl w:val="0"/>
          <w:numId w:val="1015"/>
        </w:numPr>
      </w:pPr>
      <w:r>
        <w:t xml:space="preserve">Multi-entity / intercompany — relevant for Formpipe SE/DK split</w:t>
      </w:r>
    </w:p>
    <w:p>
      <w:pPr>
        <w:pStyle w:val="Compact"/>
        <w:numPr>
          <w:ilvl w:val="0"/>
          <w:numId w:val="1015"/>
        </w:numPr>
      </w:pPr>
      <w:r>
        <w:t xml:space="preserve">BC + Power BI as single source of truth (Therese explicitly asked for this)</w:t>
      </w:r>
    </w:p>
    <w:p>
      <w:pPr>
        <w:pStyle w:val="Compact"/>
        <w:numPr>
          <w:ilvl w:val="0"/>
          <w:numId w:val="1015"/>
        </w:numPr>
      </w:pPr>
      <w:r>
        <w:t xml:space="preserve">Graph API / Business Central API patterns for automation (Python tooling Morre and I are building)</w:t>
      </w:r>
    </w:p>
    <w:p>
      <w:pPr>
        <w:pStyle w:val="Compact"/>
        <w:numPr>
          <w:ilvl w:val="0"/>
          <w:numId w:val="1015"/>
        </w:numPr>
      </w:pPr>
      <w:r>
        <w:t xml:space="preserve">Sales Price Lists in detail — customer-specific, project-specific, resource-specific overrides</w:t>
      </w:r>
    </w:p>
    <w:p>
      <w:pPr>
        <w:pStyle w:val="Compact"/>
        <w:numPr>
          <w:ilvl w:val="0"/>
          <w:numId w:val="1015"/>
        </w:numPr>
      </w:pPr>
      <w:r>
        <w:t xml:space="preserve">Time Sheet feature — when to enable on Resource cards, approval flow setup</w:t>
      </w:r>
    </w:p>
    <w:p>
      <w:pPr>
        <w:pStyle w:val="Compact"/>
        <w:numPr>
          <w:ilvl w:val="0"/>
          <w:numId w:val="1015"/>
        </w:numPr>
      </w:pPr>
      <w:r>
        <w:t xml:space="preserve">Dimensions strategy — when to use vs. when posting groups are sufficient (avoid Formpipe’s dimension overload)</w:t>
      </w:r>
    </w:p>
    <w:p>
      <w:pPr>
        <w:pStyle w:val="Compact"/>
        <w:numPr>
          <w:ilvl w:val="0"/>
          <w:numId w:val="1015"/>
        </w:numPr>
      </w:pPr>
      <w:r>
        <w:t xml:space="preserve">Revenue recognition timing for physical goods — Incoterms + BC’s handling of shipped-not-invoiced</w:t>
      </w:r>
      <w:r>
        <w:t xml:space="preserve"> </w:t>
      </w:r>
      <w:r>
        <w:rPr>
          <w:i/>
          <w:iCs/>
        </w:rPr>
        <w:t xml:space="preserve">(Morre flagged he needs to research this further)</w:t>
      </w:r>
    </w:p>
    <w:p>
      <w:pPr>
        <w:pStyle w:val="Compact"/>
        <w:numPr>
          <w:ilvl w:val="0"/>
          <w:numId w:val="1015"/>
        </w:numPr>
      </w:pPr>
      <w:r>
        <w:t xml:space="preserve">Prepaid vs. post-pay account handling in carve-out scenarios — the 2171/1470 distinction and how to keep automated code safe</w:t>
      </w:r>
    </w:p>
    <w:p>
      <w:r>
        <w:pict>
          <v:rect style="width:0;height:1.5pt" o:hralign="center" o:hrstd="t" o:hr="t"/>
        </w:pict>
      </w:r>
    </w:p>
    <w:bookmarkEnd w:id="74"/>
    <w:bookmarkStart w:id="75" w:name="using-this-file-with-claude-code"/>
    <w:p>
      <w:pPr>
        <w:pStyle w:val="Heading2"/>
      </w:pPr>
      <w:r>
        <w:t xml:space="preserve">12. Using this file with Claude Code</w:t>
      </w:r>
    </w:p>
    <w:p>
      <w:pPr>
        <w:pStyle w:val="Compact"/>
        <w:numPr>
          <w:ilvl w:val="0"/>
          <w:numId w:val="1016"/>
        </w:numPr>
      </w:pPr>
      <w:r>
        <w:t xml:space="preserve">Keep as</w:t>
      </w:r>
      <w:r>
        <w:t xml:space="preserve"> </w:t>
      </w:r>
      <w:r>
        <w:rPr>
          <w:rStyle w:val="VerbatimChar"/>
        </w:rPr>
        <w:t xml:space="preserve">ai/reports/business-central-playbook.md</w:t>
      </w:r>
      <w:r>
        <w:t xml:space="preserve">. Source material (.docx, .png) lives in</w:t>
      </w:r>
      <w:r>
        <w:t xml:space="preserve"> </w:t>
      </w:r>
      <w:r>
        <w:rPr>
          <w:rStyle w:val="VerbatimChar"/>
        </w:rPr>
        <w:t xml:space="preserve">ai/docs/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Update the</w:t>
      </w:r>
      <w:r>
        <w:t xml:space="preserve"> </w:t>
      </w:r>
      <w:r>
        <w:t xml:space="preserve">“Active client status”</w:t>
      </w:r>
      <w:r>
        <w:t xml:space="preserve"> </w:t>
      </w:r>
      <w:r>
        <w:t xml:space="preserve">and</w:t>
      </w:r>
      <w:r>
        <w:t xml:space="preserve"> </w:t>
      </w:r>
      <w:r>
        <w:t xml:space="preserve">“Open questions”</w:t>
      </w:r>
      <w:r>
        <w:t xml:space="preserve"> </w:t>
      </w:r>
      <w:r>
        <w:t xml:space="preserve">sections as engagements evolve.</w:t>
      </w:r>
    </w:p>
    <w:p>
      <w:pPr>
        <w:pStyle w:val="Compact"/>
        <w:numPr>
          <w:ilvl w:val="0"/>
          <w:numId w:val="1016"/>
        </w:numPr>
      </w:pPr>
      <w:r>
        <w:t xml:space="preserve">When Morre walks me through a new BC area, append a section here before the knowledge fades.</w:t>
      </w:r>
    </w:p>
    <w:p>
      <w:pPr>
        <w:pStyle w:val="Compact"/>
        <w:numPr>
          <w:ilvl w:val="0"/>
          <w:numId w:val="1016"/>
        </w:numPr>
      </w:pPr>
      <w:r>
        <w:t xml:space="preserve">Treat the conventions in §2 as standing instructions — if Claude Code suggests a pattern that conflicts (e.g., hardcoded item prices, Inventory-type for services), push back.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8"/>
        <w:gridCol w:w="798"/>
        <w:gridCol w:w="65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2026-06-04</w:t>
            </w:r>
          </w:p>
        </w:tc>
        <w:tc>
          <w:tcPr/>
          <w:p>
            <w:pPr>
              <w:pStyle w:val="Compact"/>
            </w:pPr>
            <w:r>
              <w:t xml:space="preserve">Consolidated from three Morre sessions + six architecture diagrams. Applied TXO look and feel.</w:t>
            </w:r>
          </w:p>
        </w:tc>
      </w:tr>
    </w:tbl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2026-06-04T12:28:58Z</dcterms:created>
  <dcterms:modified xsi:type="dcterms:W3CDTF">2026-06-04T12:28:58Z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