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Access Control Policy</w:t>
      </w:r>
    </w:p>
    <w:p>
      <w:pPr>
        <w:pStyle w:val="Author"/>
      </w:pPr>
      <w:r>
        <w:t xml:space="preserve">TenX Protocols</w:t>
      </w:r>
    </w:p>
    <w:p>
      <w:pPr>
        <w:pStyle w:val="Date"/>
      </w:pPr>
      <w:r>
        <w:t xml:space="preserve">v1.0 — Confidential — Last updated 2026-06-30 — PREVIEW DOCUMENT, not an approved policy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policy defines how access to company systems and data is granted,</w:t>
      </w:r>
      <w:r>
        <w:t xml:space="preserve"> </w:t>
      </w:r>
      <w:r>
        <w:t xml:space="preserve">reviewed, and revoked. It exists to keep the blast radius of a compromised</w:t>
      </w:r>
      <w:r>
        <w:t xml:space="preserve"> </w:t>
      </w:r>
      <w:r>
        <w:t xml:space="preserve">account small, and to give auditors a clear, evidence-backed answer to</w:t>
      </w:r>
      <w:r>
        <w:t xml:space="preserve"> </w:t>
      </w:r>
      <w:r>
        <w:t xml:space="preserve">“who can touch what, and why.”</w:t>
      </w:r>
    </w:p>
    <w:bookmarkEnd w:id="21"/>
    <w:bookmarkStart w:id="24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policy applies to every employee, contractor, and automated service</w:t>
      </w:r>
      <w:r>
        <w:t xml:space="preserve"> </w:t>
      </w:r>
      <w:r>
        <w:t xml:space="preserve">account with access to production systems, customer data, or internal</w:t>
      </w:r>
      <w:r>
        <w:t xml:space="preserve"> </w:t>
      </w:r>
      <w:r>
        <w:t xml:space="preserve">tooling. It does not cover physical access to office space, which is</w:t>
      </w:r>
      <w:r>
        <w:t xml:space="preserve"> </w:t>
      </w:r>
      <w:r>
        <w:t xml:space="preserve">governed separately.</w:t>
      </w:r>
    </w:p>
    <w:bookmarkStart w:id="22" w:name="principle-of-least-privilege"/>
    <w:p>
      <w:pPr>
        <w:pStyle w:val="Heading3"/>
      </w:pPr>
      <w:r>
        <w:t xml:space="preserve">Principle of least privilege</w:t>
      </w:r>
    </w:p>
    <w:p>
      <w:pPr>
        <w:pStyle w:val="FirstParagraph"/>
      </w:pPr>
      <w:r>
        <w:t xml:space="preserve">Access is granted based on role, not tenure or convenience. A new hire on</w:t>
      </w:r>
      <w:r>
        <w:t xml:space="preserve"> </w:t>
      </w:r>
      <w:r>
        <w:t xml:space="preserve">the platform team gets read access to staging logs on day one; write</w:t>
      </w:r>
      <w:r>
        <w:t xml:space="preserve"> </w:t>
      </w:r>
      <w:r>
        <w:t xml:space="preserve">access to production infrastructure requires a specific, time-bound</w:t>
      </w:r>
      <w:r>
        <w:t xml:space="preserve"> </w:t>
      </w:r>
      <w:r>
        <w:t xml:space="preserve">request approved by their manager and a member of the security team.</w:t>
      </w:r>
    </w:p>
    <w:bookmarkEnd w:id="22"/>
    <w:bookmarkStart w:id="23" w:name="default-deny"/>
    <w:p>
      <w:pPr>
        <w:pStyle w:val="Heading3"/>
      </w:pPr>
      <w:r>
        <w:t xml:space="preserve">Default-deny</w:t>
      </w:r>
    </w:p>
    <w:p>
      <w:pPr>
        <w:pStyle w:val="FirstParagraph"/>
      </w:pPr>
      <w:r>
        <w:t xml:space="preserve">Systems default to no access. Every grant is a deliberate, logged action —</w:t>
      </w:r>
      <w:r>
        <w:t xml:space="preserve"> </w:t>
      </w:r>
      <w:r>
        <w:t xml:space="preserve">never an inherited default from a broader group unless that group’s own</w:t>
      </w:r>
      <w:r>
        <w:t xml:space="preserve"> </w:t>
      </w:r>
      <w:r>
        <w:t xml:space="preserve">access was itself deliberately scoped.</w:t>
      </w:r>
    </w:p>
    <w:bookmarkEnd w:id="23"/>
    <w:bookmarkEnd w:id="24"/>
    <w:bookmarkStart w:id="25" w:name="access-review-cadence"/>
    <w:p>
      <w:pPr>
        <w:pStyle w:val="Heading2"/>
      </w:pPr>
      <w:r>
        <w:t xml:space="preserve">Access review cadence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Review frequency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AWS accounts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Security lead</w:t>
            </w:r>
          </w:p>
        </w:tc>
        <w:tc>
          <w:tcPr/>
          <w:p>
            <w:pPr>
              <w:pStyle w:val="Compact"/>
            </w:pPr>
            <w:r>
              <w:t xml:space="preserve">Signed access review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Workspace admin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IT lead</w:t>
            </w:r>
          </w:p>
        </w:tc>
        <w:tc>
          <w:tcPr/>
          <w:p>
            <w:pPr>
              <w:pStyle w:val="Compact"/>
            </w:pPr>
            <w:r>
              <w:t xml:space="preserve">Signed access review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control (org owners)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Signed access review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data warehouse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Data lead</w:t>
            </w:r>
          </w:p>
        </w:tc>
        <w:tc>
          <w:tcPr/>
          <w:p>
            <w:pPr>
              <w:pStyle w:val="Compact"/>
            </w:pPr>
            <w:r>
              <w:t xml:space="preserve">Signed access review checklist</w:t>
            </w:r>
          </w:p>
        </w:tc>
      </w:tr>
    </w:tbl>
    <w:bookmarkEnd w:id="25"/>
    <w:bookmarkStart w:id="26" w:name="offboarding"/>
    <w:p>
      <w:pPr>
        <w:pStyle w:val="Heading2"/>
      </w:pPr>
      <w:r>
        <w:t xml:space="preserve">Offboarding</w:t>
      </w:r>
    </w:p>
    <w:p>
      <w:pPr>
        <w:pStyle w:val="FirstParagraph"/>
      </w:pPr>
      <w:r>
        <w:t xml:space="preserve">When an employee or contractor’s engagement ends, access is revoked the</w:t>
      </w:r>
      <w:r>
        <w:t xml:space="preserve"> </w:t>
      </w:r>
      <w:r>
        <w:t xml:space="preserve">same business day. This includes:</w:t>
      </w:r>
    </w:p>
    <w:p>
      <w:pPr>
        <w:pStyle w:val="Compact"/>
        <w:numPr>
          <w:ilvl w:val="0"/>
          <w:numId w:val="1001"/>
        </w:numPr>
      </w:pPr>
      <w:r>
        <w:t xml:space="preserve">SSO/identity provider account disabled</w:t>
      </w:r>
    </w:p>
    <w:p>
      <w:pPr>
        <w:pStyle w:val="Compact"/>
        <w:numPr>
          <w:ilvl w:val="0"/>
          <w:numId w:val="1001"/>
        </w:numPr>
      </w:pPr>
      <w:r>
        <w:t xml:space="preserve">All third-party SaaS integrations tied to their identity revoked</w:t>
      </w:r>
    </w:p>
    <w:p>
      <w:pPr>
        <w:pStyle w:val="Compact"/>
        <w:numPr>
          <w:ilvl w:val="0"/>
          <w:numId w:val="1001"/>
        </w:numPr>
      </w:pPr>
      <w:r>
        <w:t xml:space="preserve">Any shared credentials they had knowledge of rotated</w:t>
      </w:r>
    </w:p>
    <w:p>
      <w:pPr>
        <w:pStyle w:val="Compact"/>
        <w:numPr>
          <w:ilvl w:val="0"/>
          <w:numId w:val="1001"/>
        </w:numPr>
      </w:pPr>
      <w:r>
        <w:t xml:space="preserve">Physical badge and hardware returned or remotely wiped</w:t>
      </w:r>
    </w:p>
    <w:bookmarkEnd w:id="26"/>
    <w:bookmarkStart w:id="27" w:name="exceptions"/>
    <w:p>
      <w:pPr>
        <w:pStyle w:val="Heading2"/>
      </w:pPr>
      <w:r>
        <w:t xml:space="preserve">Exceptions</w:t>
      </w:r>
    </w:p>
    <w:p>
      <w:pPr>
        <w:pStyle w:val="FirstParagraph"/>
      </w:pPr>
      <w:r>
        <w:t xml:space="preserve">Any deviation from this policy requires written approval from the</w:t>
      </w:r>
      <w:r>
        <w:t xml:space="preserve"> </w:t>
      </w:r>
      <w:r>
        <w:t xml:space="preserve">security lead, with a documented business justification and an expiry</w:t>
      </w:r>
      <w:r>
        <w:t xml:space="preserve"> </w:t>
      </w:r>
      <w:r>
        <w:t xml:space="preserve">date. Standing exceptions are reviewed at the same cadence as regular</w:t>
      </w:r>
      <w:r>
        <w:t xml:space="preserve"> </w:t>
      </w:r>
      <w:r>
        <w:t xml:space="preserve">access reviews above.</w:t>
      </w:r>
    </w:p>
    <w:bookmarkEnd w:id="27"/>
    <w:sectPr>
      <w:footerReference r:id="rId9" w:type="first"/>
      <w:footerReference r:id="rId10" w:type="default"/>
      <w:headerReference r:id="rId11" w:type="first"/>
      <w:headerReference r:id="rId12" w:type="default"/>
      <w:footnotePr>
        <w:numRestart w:val="eachSect"/>
      </w:footnotePr>
      <w:pgSz w:h="15840" w:w="12240"/>
      <w:pgMar w:bottom="1440" w:left="1440" w:right="1440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6B6B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678000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nx-logo-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8000" cy="1800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678000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nx-logo-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8000" cy="18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20" w:before="6000" w:line="276" w:lineRule="auto"/>
      <w:contextualSpacing/>
      <w:jc w:val="center"/>
      <w:shd w:fill="3D1A5B" w:val="clear"/>
      <w:ind w:left="180" w:right="180"/>
    </w:pPr>
    <w:rPr>
      <w:rFonts w:asciiTheme="majorHAnsi" w:cstheme="majorBidi" w:eastAsiaTheme="majorEastAsia" w:hAnsiTheme="majorHAnsi"/>
      <w:b/>
      <w:color w:val="FFFFFF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hd w:fill="auto" w:val="clear"/>
      <w:spacing w:after="40" w:before="4000"/>
      <w:ind w:left="0" w:right="0"/>
    </w:pPr>
    <w:rPr>
      <w:color w:val="6B6B6B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  <w:shd w:fill="auto" w:val="clear"/>
      <w:spacing w:after="0" w:before="0"/>
      <w:ind w:left="0" w:right="0"/>
    </w:pPr>
    <w:rPr>
      <w:color w:val="6B6B6B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="Calibri" w:cstheme="majorBidi" w:eastAsia="Calibri" w:eastAsiaTheme="majorEastAsia" w:hAnsi="Calibri" w:hAnsiTheme="majorHAnsi"/>
      <w:b/>
      <w:color w:val="A855F7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color w:val="A855F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cstheme="majorBidi" w:eastAsia="Calibri" w:eastAsiaTheme="majorEastAsia" w:hAnsi="Calibri"/>
      <w:b/>
      <w:color w:val="A855F7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pageBreakBefore/>
      <w:spacing w:before="240" w:line="259" w:lineRule="auto"/>
      <w:outlineLvl w:val="9"/>
    </w:pPr>
    <w:rPr>
      <w:rFonts w:ascii="Calibri" w:asciiTheme="majorHAnsi" w:cs="Calibri" w:cstheme="majorBidi" w:eastAsia="Calibri" w:eastAsiaTheme="majorEastAsia" w:hAnsi="Calibri" w:hAnsiTheme="majorHAnsi"/>
      <w:b/>
      <w:bCs w:val="0"/>
      <w:color w:val="A855F7"/>
      <w:sz w:val="3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Relationship Id="rId11" Target="header1.xml" Type="http://schemas.openxmlformats.org/officeDocument/2006/relationships/header" /><Relationship Id="rId12" Target="header2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Control Policy</dc:title>
  <dc:creator>TenX Protocols</dc:creator>
  <cp:keywords/>
  <dcterms:created xsi:type="dcterms:W3CDTF">2026-07-01T03:39:10Z</dcterms:created>
  <dcterms:modified xsi:type="dcterms:W3CDTF">2026-07-01T03:39:10Z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v1.0 — Confidential — Last updated 2026-06-30 — PREVIEW DOCUMENT, not an approved policy</vt:lpwstr>
  </property>
</Properties>
</file>