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Incident Response Runbook</w:t>
      </w:r>
    </w:p>
    <w:p>
      <w:pPr>
        <w:pStyle w:val="Author"/>
      </w:pPr>
      <w:r>
        <w:t xml:space="preserve">TenX Protocols · Platform Engineering</w:t>
      </w:r>
    </w:p>
    <w:p>
      <w:pPr>
        <w:pStyle w:val="Date"/>
      </w:pPr>
      <w:r>
        <w:t xml:space="preserve">v1.0 — Confidential — Last updated 2026-06-30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1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runbook covers first response for a production incident: how to</w:t>
      </w:r>
      <w:r>
        <w:t xml:space="preserve"> </w:t>
      </w:r>
      <w:r>
        <w:t xml:space="preserve">declare severity, who to page, and the immediate stabilization steps</w:t>
      </w:r>
      <w:r>
        <w:t xml:space="preserve"> </w:t>
      </w:r>
      <w:r>
        <w:t xml:space="preserve">before a full postmortem is written.</w:t>
      </w:r>
    </w:p>
    <w:bookmarkEnd w:id="21"/>
    <w:bookmarkStart w:id="22" w:name="escalation-path"/>
    <w:p>
      <w:pPr>
        <w:pStyle w:val="Heading2"/>
      </w:pPr>
      <w:r>
        <w:t xml:space="preserve">Escalation path</w:t>
      </w:r>
    </w:p>
    <w:p>
      <w:pPr>
        <w:pStyle w:val="Compact"/>
        <w:numPr>
          <w:ilvl w:val="0"/>
          <w:numId w:val="1001"/>
        </w:numPr>
      </w:pPr>
      <w:r>
        <w:t xml:space="preserve">On-call engineer acknowledges the page within 5 minutes.</w:t>
      </w:r>
    </w:p>
    <w:p>
      <w:pPr>
        <w:pStyle w:val="Compact"/>
        <w:numPr>
          <w:ilvl w:val="0"/>
          <w:numId w:val="1001"/>
        </w:numPr>
      </w:pPr>
      <w:r>
        <w:t xml:space="preserve">SEV-1/SEV-2 incidents page the on-call lead automatically.</w:t>
      </w:r>
    </w:p>
    <w:p>
      <w:pPr>
        <w:pStyle w:val="Compact"/>
        <w:numPr>
          <w:ilvl w:val="0"/>
          <w:numId w:val="1001"/>
        </w:numPr>
      </w:pPr>
      <w:r>
        <w:t xml:space="preserve">The lead decides whether to open an incident channel and pull in</w:t>
      </w:r>
      <w:r>
        <w:t xml:space="preserve"> </w:t>
      </w:r>
      <w:r>
        <w:t xml:space="preserve">additional responders.</w:t>
      </w:r>
    </w:p>
    <w:bookmarkEnd w:id="22"/>
    <w:bookmarkStart w:id="23" w:name="immediate-steps"/>
    <w:p>
      <w:pPr>
        <w:pStyle w:val="Heading2"/>
      </w:pPr>
      <w:r>
        <w:t xml:space="preserve">Immediate steps</w:t>
      </w:r>
    </w:p>
    <w:p>
      <w:pPr>
        <w:pStyle w:val="Compact"/>
        <w:numPr>
          <w:ilvl w:val="0"/>
          <w:numId w:val="1002"/>
        </w:numPr>
      </w:pPr>
      <w:r>
        <w:t xml:space="preserve">Confirm the blast radius: which systems, which customers.</w:t>
      </w:r>
    </w:p>
    <w:p>
      <w:pPr>
        <w:pStyle w:val="Compact"/>
        <w:numPr>
          <w:ilvl w:val="0"/>
          <w:numId w:val="1002"/>
        </w:numPr>
      </w:pPr>
      <w:r>
        <w:t xml:space="preserve">Mitigate first, root-cause later — roll back or fail over before</w:t>
      </w:r>
      <w:r>
        <w:t xml:space="preserve"> </w:t>
      </w:r>
      <w:r>
        <w:t xml:space="preserve">investigating why.</w:t>
      </w:r>
    </w:p>
    <w:p>
      <w:pPr>
        <w:pStyle w:val="Compact"/>
        <w:numPr>
          <w:ilvl w:val="0"/>
          <w:numId w:val="1002"/>
        </w:numPr>
      </w:pPr>
      <w:r>
        <w:t xml:space="preserve">Post a status update in the incident channel every 15 minutes while</w:t>
      </w:r>
      <w:r>
        <w:t xml:space="preserve"> </w:t>
      </w:r>
      <w:r>
        <w:t xml:space="preserve">the incident is open.</w:t>
      </w:r>
    </w:p>
    <w:bookmarkEnd w:id="23"/>
    <w:bookmarkStart w:id="24" w:name="recovery-verification"/>
    <w:p>
      <w:pPr>
        <w:pStyle w:val="Heading2"/>
      </w:pPr>
      <w:r>
        <w:t xml:space="preserve">Recovery verification</w:t>
      </w:r>
    </w:p>
    <w:p>
      <w:pPr>
        <w:pStyle w:val="Compact"/>
        <w:numPr>
          <w:ilvl w:val="0"/>
          <w:numId w:val="1003"/>
        </w:numPr>
      </w:pPr>
      <w:r>
        <w:t xml:space="preserve">Error rates and latency back to baseline for at least 15 minutes.</w:t>
      </w:r>
    </w:p>
    <w:p>
      <w:pPr>
        <w:pStyle w:val="Compact"/>
        <w:numPr>
          <w:ilvl w:val="0"/>
          <w:numId w:val="1003"/>
        </w:numPr>
      </w:pPr>
      <w:r>
        <w:t xml:space="preserve">No open pages or active alerts tied to this incident.</w:t>
      </w:r>
    </w:p>
    <w:p>
      <w:pPr>
        <w:pStyle w:val="Compact"/>
        <w:numPr>
          <w:ilvl w:val="0"/>
          <w:numId w:val="1003"/>
        </w:numPr>
      </w:pPr>
      <w:r>
        <w:t xml:space="preserve">Customer-facing status page updated to resolved.</w:t>
      </w:r>
    </w:p>
    <w:bookmarkEnd w:id="24"/>
    <w:bookmarkStart w:id="25" w:name="after-the-incident"/>
    <w:p>
      <w:pPr>
        <w:pStyle w:val="Heading2"/>
      </w:pPr>
      <w:r>
        <w:t xml:space="preserve">After the incident</w:t>
      </w:r>
    </w:p>
    <w:p>
      <w:pPr>
        <w:pStyle w:val="FirstParagraph"/>
      </w:pPr>
      <w:r>
        <w:t xml:space="preserve">Open a postmortem using the Postmortem template within one business day.</w:t>
      </w:r>
      <w:r>
        <w:t xml:space="preserve"> </w:t>
      </w:r>
      <w:r>
        <w:t xml:space="preserve">This runbook only covers the response itself, not the retrospective.</w:t>
      </w:r>
    </w:p>
    <w:bookmarkEnd w:id="25"/>
    <w:sectPr>
      <w:footerReference r:id="rId9" w:type="first"/>
      <w:footerReference r:id="rId10" w:type="default"/>
      <w:headerReference r:id="rId11" w:type="first"/>
      <w:headerReference r:id="rId12" w:type="default"/>
      <w:footnotePr>
        <w:numRestart w:val="eachSect"/>
      </w:footnotePr>
      <w:pgSz w:h="15840" w:w="12240"/>
      <w:pgMar w:bottom="1440" w:header="720" w:left="1440" w:right="1440" w:top="230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6B6B6B"/>
        <w:sz w:val="1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left"/>
    </w:pPr>
    <w:r>
      <w:drawing>
        <wp:inline xmlns:a="http://schemas.openxmlformats.org/drawingml/2006/main" xmlns:pic="http://schemas.openxmlformats.org/drawingml/2006/picture">
          <wp:extent cx="1717031" cy="54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ckup-horizontal-black-51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7031" cy="540000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left"/>
    </w:pPr>
    <w:r>
      <w:drawing>
        <wp:inline xmlns:a="http://schemas.openxmlformats.org/drawingml/2006/main" xmlns:pic="http://schemas.openxmlformats.org/drawingml/2006/picture">
          <wp:extent cx="1717031" cy="54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ckup-horizontal-black-51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7031" cy="54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60" w:before="960" w:line="276" w:lineRule="auto"/>
      <w:contextualSpacing/>
      <w:jc w:val="left"/>
      <w:pBdr>
        <w:left w:color="A855F7" w:space="10" w:sz="24" w:val="single"/>
      </w:pBdr>
    </w:pPr>
    <w:rPr>
      <w:rFonts w:ascii="Calibri" w:cs="Calibri" w:eastAsia="Calibri" w:hAnsi="Calibri"/>
      <w:b/>
      <w:color w:val="A855F7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after="40" w:before="120"/>
      <w:jc w:val="left"/>
    </w:pPr>
    <w:rPr>
      <w:rFonts w:ascii="Calibri" w:cs="Calibri" w:eastAsia="Calibri" w:hAnsi="Calibri"/>
      <w:b w:val="0"/>
      <w:color w:val="6B6B6B"/>
      <w:sz w:val="22"/>
      <w:szCs w:val="24"/>
    </w:rPr>
  </w:style>
  <w:style w:styleId="Date" w:type="paragraph">
    <w:name w:val="Date"/>
    <w:basedOn w:val="Title"/>
    <w:next w:val="BodyText"/>
    <w:qFormat/>
    <w:pPr>
      <w:keepNext/>
      <w:keepLines/>
      <w:spacing w:after="0" w:before="0"/>
      <w:jc w:val="left"/>
    </w:pPr>
    <w:rPr>
      <w:rFonts w:ascii="Calibri" w:cs="Calibri" w:eastAsia="Calibri" w:hAnsi="Calibri"/>
      <w:b w:val="0"/>
      <w:color w:val="6B6B6B"/>
      <w:sz w:val="20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cs="Calibri" w:eastAsia="Calibri" w:hAnsi="Calibri"/>
      <w:b/>
      <w:color w:val="A855F7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="Calibri" w:eastAsia="Calibri" w:hAnsi="Calibri"/>
      <w:b/>
      <w:color w:val="A855F7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="Calibri" w:eastAsia="Calibri" w:hAnsi="Calibri"/>
      <w:b/>
      <w:color w:val="A855F7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pageBreakBefore/>
      <w:spacing w:before="240" w:line="259" w:lineRule="auto"/>
      <w:outlineLvl w:val="9"/>
    </w:pPr>
    <w:rPr>
      <w:rFonts w:ascii="Calibri" w:cs="Calibri" w:eastAsia="Calibri" w:hAnsi="Calibri"/>
      <w:b/>
      <w:bCs w:val="0"/>
      <w:color w:val="A855F7"/>
      <w:sz w:val="3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0" Target="numbering.xml" /><Relationship Type="http://schemas.openxmlformats.org/officeDocument/2006/relationships/styles" Id="rId19" Target="styles.xml" /><Relationship Type="http://schemas.openxmlformats.org/officeDocument/2006/relationships/settings" Id="rId18" Target="settings.xml" /><Relationship Type="http://schemas.openxmlformats.org/officeDocument/2006/relationships/webSettings" Id="rId17" Target="webSettings.xml" /><Relationship Type="http://schemas.openxmlformats.org/officeDocument/2006/relationships/fontTable" Id="rId16" Target="fontTable.xml" /><Relationship Type="http://schemas.openxmlformats.org/officeDocument/2006/relationships/theme" Id="rId15" Target="theme/theme1.xml" /><Relationship Type="http://schemas.openxmlformats.org/officeDocument/2006/relationships/footnotes" Id="rId14" Target="footnotes.xml" /><Relationship Type="http://schemas.openxmlformats.org/officeDocument/2006/relationships/comments" Id="rId13" Target="comments.xml" /><Relationship Id="rId9" Target="footer1.xml" Type="http://schemas.openxmlformats.org/officeDocument/2006/relationships/footer" /><Relationship Id="rId10" Target="footer2.xml" Type="http://schemas.openxmlformats.org/officeDocument/2006/relationships/footer" /><Relationship Id="rId11" Target="header1.xml" Type="http://schemas.openxmlformats.org/officeDocument/2006/relationships/header" /><Relationship Id="rId12" Target="header2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Incident Response Runbook</dc:title>
  <dc:creator>TenX Protocols · Platform Engineering</dc:creator>
  <cp:keywords/>
  <dcterms:created xsi:type="dcterms:W3CDTF">2026-07-15T02:23:16Z</dcterms:created>
  <dcterms:modified xsi:type="dcterms:W3CDTF">2026-07-15T02:23:16Z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v1.0 — Confidential — Last updated 2026-06-30</vt:lpwstr>
  </property>
  <property fmtid="{D5CDD505-2E9C-101B-9397-08002B2CF9AE}" pid="3" name="doctype">
    <vt:lpwstr>document</vt:lpwstr>
  </property>
</Properties>
</file>