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Quarterly Business Report</w:t>
      </w:r>
    </w:p>
    <w:p>
      <w:pPr>
        <w:pStyle w:val="Author"/>
      </w:pPr>
      <w:r>
        <w:t xml:space="preserve">TenX Protocols · Board &amp; Leadership Update</w:t>
      </w:r>
    </w:p>
    <w:p>
      <w:pPr>
        <w:pStyle w:val="Date"/>
      </w:pPr>
      <w:r>
        <w:t xml:space="preserve">Q1 2026 · Confidential — Internal Use Only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Lorem ipsum dolor sit amet, consectetur adipiscing elit. The quarter’s</w:t>
      </w:r>
      <w:r>
        <w:t xml:space="preserve"> </w:t>
      </w:r>
      <w:r>
        <w:t xml:space="preserve">results were driven by steady growth across the core product lines, a</w:t>
      </w:r>
      <w:r>
        <w:t xml:space="preserve"> </w:t>
      </w:r>
      <w:r>
        <w:t xml:space="preserve">disciplined approach to hiring, and continued progress on the platform</w:t>
      </w:r>
      <w:r>
        <w:t xml:space="preserve"> </w:t>
      </w:r>
      <w:r>
        <w:t xml:space="preserve">migration workstream.</w:t>
      </w:r>
    </w:p>
    <w:bookmarkEnd w:id="21"/>
    <w:bookmarkStart w:id="22" w:name="highlights"/>
    <w:p>
      <w:pPr>
        <w:pStyle w:val="Heading2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Revenue:</w:t>
      </w:r>
      <w:r>
        <w:t xml:space="preserve"> </w:t>
      </w:r>
      <w:r>
        <w:t xml:space="preserve">Lorem ipsum dolor sit amet, up double digits quarter over</w:t>
      </w:r>
      <w:r>
        <w:t xml:space="preserve"> </w:t>
      </w:r>
      <w:r>
        <w:t xml:space="preserve">quarter.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Headcount:</w:t>
      </w:r>
      <w:r>
        <w:t xml:space="preserve"> </w:t>
      </w:r>
      <w:r>
        <w:t xml:space="preserve">Sed do eiusmod tempor incididunt, net additions across</w:t>
      </w:r>
      <w:r>
        <w:t xml:space="preserve"> </w:t>
      </w:r>
      <w:r>
        <w:t xml:space="preserve">engineering and go-to-market.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Major launches:</w:t>
      </w:r>
      <w:r>
        <w:t xml:space="preserve"> </w:t>
      </w:r>
      <w:r>
        <w:t xml:space="preserve">Ut enim ad minim veniam, two flagship features</w:t>
      </w:r>
      <w:r>
        <w:t xml:space="preserve"> </w:t>
      </w:r>
      <w:r>
        <w:t xml:space="preserve">shipped ahead of schedule.</w:t>
      </w:r>
    </w:p>
    <w:bookmarkEnd w:id="22"/>
    <w:bookmarkStart w:id="23" w:name="financial-overview"/>
    <w:p>
      <w:pPr>
        <w:pStyle w:val="Heading2"/>
      </w:pPr>
      <w:r>
        <w:t xml:space="preserve">Financial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Q4 2025</w:t>
            </w:r>
          </w:p>
        </w:tc>
        <w:tc>
          <w:tcPr/>
          <w:p>
            <w:pPr>
              <w:pStyle w:val="Compact"/>
            </w:pPr>
            <w:r>
              <w:t xml:space="preserve">Q1 2026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$X.XM</w:t>
            </w:r>
          </w:p>
        </w:tc>
        <w:tc>
          <w:tcPr/>
          <w:p>
            <w:pPr>
              <w:pStyle w:val="Compact"/>
            </w:pPr>
            <w:r>
              <w:t xml:space="preserve">$X.XM</w:t>
            </w:r>
          </w:p>
        </w:tc>
        <w:tc>
          <w:tcPr/>
          <w:p>
            <w:pPr>
              <w:pStyle w:val="Compact"/>
            </w:pPr>
            <w:r>
              <w:t xml:space="preserve">+XX%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  <w:tc>
          <w:tcPr/>
          <w:p>
            <w:pPr>
              <w:pStyle w:val="Compact"/>
            </w:pPr>
            <w:r>
              <w:t xml:space="preserve">+X 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expense</w:t>
            </w:r>
          </w:p>
        </w:tc>
        <w:tc>
          <w:tcPr/>
          <w:p>
            <w:pPr>
              <w:pStyle w:val="Compact"/>
            </w:pPr>
            <w:r>
              <w:t xml:space="preserve">$X.XM</w:t>
            </w:r>
          </w:p>
        </w:tc>
        <w:tc>
          <w:tcPr/>
          <w:p>
            <w:pPr>
              <w:pStyle w:val="Compact"/>
            </w:pPr>
            <w:r>
              <w:t xml:space="preserve">$X.XM</w:t>
            </w:r>
          </w:p>
        </w:tc>
        <w:tc>
          <w:tcPr/>
          <w:p>
            <w:pPr>
              <w:pStyle w:val="Compact"/>
            </w:pPr>
            <w:r>
              <w:t xml:space="preserve">+XX%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on hand</w:t>
            </w:r>
          </w:p>
        </w:tc>
        <w:tc>
          <w:tcPr/>
          <w:p>
            <w:pPr>
              <w:pStyle w:val="Compact"/>
            </w:pPr>
            <w:r>
              <w:t xml:space="preserve">$X.XM</w:t>
            </w:r>
          </w:p>
        </w:tc>
        <w:tc>
          <w:tcPr/>
          <w:p>
            <w:pPr>
              <w:pStyle w:val="Compact"/>
            </w:pPr>
            <w:r>
              <w:t xml:space="preserve">$X.XM</w:t>
            </w:r>
          </w:p>
        </w:tc>
        <w:tc>
          <w:tcPr/>
          <w:p>
            <w:pPr>
              <w:pStyle w:val="Compact"/>
            </w:pPr>
            <w:r>
              <w:t xml:space="preserve">-XX%</w:t>
            </w:r>
          </w:p>
        </w:tc>
      </w:tr>
    </w:tbl>
    <w:bookmarkEnd w:id="23"/>
    <w:bookmarkStart w:id="24" w:name="product-engineering"/>
    <w:p>
      <w:pPr>
        <w:pStyle w:val="Heading2"/>
      </w:pPr>
      <w:r>
        <w:t xml:space="preserve">Product &amp; engineering</w:t>
      </w:r>
    </w:p>
    <w:p>
      <w:pPr>
        <w:pStyle w:val="FirstParagraph"/>
      </w:pPr>
      <w:r>
        <w:t xml:space="preserve">Duis aute irure dolor in reprehenderit in voluptate velit esse cillum</w:t>
      </w:r>
      <w:r>
        <w:t xml:space="preserve"> </w:t>
      </w:r>
      <w:r>
        <w:t xml:space="preserve">dolore eu fugiat nulla pariatur. Excepteur sint occaecat cupidatat non</w:t>
      </w:r>
      <w:r>
        <w:t xml:space="preserve"> </w:t>
      </w:r>
      <w:r>
        <w:t xml:space="preserve">proident, sunt in culpa qui officia deserunt mollit anim id est laborum.</w:t>
      </w:r>
    </w:p>
    <w:bookmarkEnd w:id="24"/>
    <w:bookmarkStart w:id="25" w:name="risks-outlook"/>
    <w:p>
      <w:pPr>
        <w:pStyle w:val="Heading2"/>
      </w:pPr>
      <w:r>
        <w:t xml:space="preserve">Risks &amp; outlook</w:t>
      </w:r>
    </w:p>
    <w:p>
      <w:pPr>
        <w:pStyle w:val="FirstParagraph"/>
      </w:pPr>
      <w:r>
        <w:t xml:space="preserve">Sed ut perspiciatis unde omnis iste natus error sit voluptatem</w:t>
      </w:r>
      <w:r>
        <w:t xml:space="preserve"> </w:t>
      </w:r>
      <w:r>
        <w:t xml:space="preserve">accusantium doloremque laudantium, totam rem aperiam eaque ipsa quae ab</w:t>
      </w:r>
      <w:r>
        <w:t xml:space="preserve"> </w:t>
      </w:r>
      <w:r>
        <w:t xml:space="preserve">illo inventore veritatis et quasi architecto beatae vitae dicta sunt</w:t>
      </w:r>
      <w:r>
        <w:t xml:space="preserve"> </w:t>
      </w:r>
      <w:r>
        <w:t xml:space="preserve">explicabo.</w:t>
      </w:r>
    </w:p>
    <w:bookmarkEnd w:id="25"/>
    <w:sectPr>
      <w:footerReference r:id="rId9" w:type="first"/>
      <w:footerReference r:id="rId10" w:type="default"/>
      <w:headerReference r:id="rId11" w:type="first"/>
      <w:headerReference r:id="rId12" w:type="default"/>
      <w:footnotePr>
        <w:numRestart w:val="eachSect"/>
      </w:footnotePr>
      <w:pgSz w:h="15840" w:w="12240"/>
      <w:pgMar w:bottom="1440" w:header="432" w:left="1440" w:right="1440" w:top="302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6B6B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hd w:val="clear" w:fill="3D1A5B"/>
      <w:spacing w:before="480" w:after="200"/>
      <w:ind w:left="-720" w:right="-720"/>
      <w:jc w:val="left"/>
    </w:pPr>
    <w:r>
      <w:drawing>
        <wp:inline xmlns:a="http://schemas.openxmlformats.org/drawingml/2006/main" xmlns:pic="http://schemas.openxmlformats.org/drawingml/2006/picture">
          <wp:extent cx="1144688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ckup-horizontal-white-5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4688" cy="360000"/>
                  </a:xfrm>
                  <a:prstGeom prst="rect"/>
                </pic:spPr>
              </pic:pic>
            </a:graphicData>
          </a:graphic>
        </wp:inline>
      </w:drawing>
    </w:r>
  </w:p>
  <w:p>
    <w:pPr>
      <w:shd w:val="clear" w:fill="3D1A5B"/>
      <w:spacing w:before="0" w:after="320"/>
      <w:ind w:left="-720" w:right="-720"/>
      <w:jc w:val="center"/>
    </w:pPr>
    <w:r>
      <w:drawing>
        <wp:inline xmlns:a="http://schemas.openxmlformats.org/drawingml/2006/main" xmlns:pic="http://schemas.openxmlformats.org/drawingml/2006/picture">
          <wp:extent cx="2532185" cy="822960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eport-cover-art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532185" cy="82296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58125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ckup-stacked-black-5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8125" cy="54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400" w:before="320" w:line="276" w:lineRule="auto"/>
      <w:contextualSpacing/>
      <w:jc w:val="left"/>
      <w:shd w:fill="3D1A5B" w:val="clear"/>
      <w:ind w:left="-720" w:right="-720"/>
    </w:pPr>
    <w:rPr>
      <w:rFonts w:ascii="Calibri" w:cs="Calibri" w:eastAsia="Calibri" w:hAnsi="Calibri"/>
      <w:b/>
      <w:color w:val="FFFFFF"/>
      <w:sz w:val="7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80" w:before="5600"/>
      <w:ind w:left="-720" w:right="-720"/>
      <w:jc w:val="left"/>
    </w:pPr>
    <w:rPr>
      <w:rFonts w:ascii="Calibri" w:cs="Calibri" w:eastAsia="Calibri" w:hAnsi="Calibri"/>
      <w:b w:val="0"/>
      <w:color w:val="FFFFFF"/>
      <w:sz w:val="26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960" w:before="0"/>
      <w:ind w:left="-720" w:right="-720"/>
      <w:jc w:val="left"/>
    </w:pPr>
    <w:rPr>
      <w:rFonts w:ascii="Calibri" w:cs="Calibri" w:eastAsia="Calibri" w:hAnsi="Calibri"/>
      <w:b w:val="0"/>
      <w:color w:val="D8C9EE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="Calibri" w:eastAsia="Calibri" w:hAnsi="Calibri"/>
      <w:b/>
      <w:color w:val="A855F7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Calibri" w:eastAsia="Calibri" w:hAnsi="Calibri"/>
      <w:b/>
      <w:color w:val="A855F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eastAsia="Calibri" w:hAnsi="Calibri"/>
      <w:b/>
      <w:color w:val="A855F7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pageBreakBefore/>
      <w:spacing w:before="240" w:line="259" w:lineRule="auto"/>
      <w:outlineLvl w:val="9"/>
    </w:pPr>
    <w:rPr>
      <w:rFonts w:ascii="Calibri" w:cs="Calibri" w:eastAsia="Calibri" w:hAnsi="Calibri"/>
      <w:b/>
      <w:bCs w:val="0"/>
      <w:color w:val="A855F7"/>
      <w:sz w:val="3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Relationship Id="rId11" Target="header1.xml" Type="http://schemas.openxmlformats.org/officeDocument/2006/relationships/header" /><Relationship Id="rId12" Target="header2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Business Report</dc:title>
  <dc:creator>TenX Protocols · Board &amp; Leadership Update</dc:creator>
  <cp:keywords/>
  <dcterms:created xsi:type="dcterms:W3CDTF">2026-07-15T02:23:16Z</dcterms:created>
  <dcterms:modified xsi:type="dcterms:W3CDTF">2026-07-15T02:23:16Z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Q1 2026 · Confidential — Internal Use Only</vt:lpwstr>
  </property>
</Properties>
</file>