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SophicAgent 数据库运行设计</w:t>
      </w:r>
    </w:p>
    <w:p/>
    <w:p>
      <w:pPr>
        <w:pStyle w:val="Heading1"/>
      </w:pPr>
      <w:r>
        <w:t xml:space="preserve">1. 文档说明</w:t>
      </w:r>
    </w:p>
    <w:p/>
    <w:p>
      <w:pPr>
        <w:pStyle w:val="Normal"/>
      </w:pPr>
      <w:r>
        <w:t xml:space="preserve">• 本文基于 sophicAgent数据库设计_V1_V2.md（I:/java/workplace/spring-ai-alibaba/.claude/sophicAgent/sophicAgent数据库设计_V1_V2.md） 和 数据库表明细.md（I:/java/workplace/spring-ai-alibaba/.claude/sophicAgent/数据库表明细.md） 编制。</w:t>
      </w:r>
    </w:p>
    <w:p>
      <w:pPr>
        <w:pStyle w:val="Normal"/>
      </w:pPr>
      <w:r>
        <w:t xml:space="preserve">• 本文重点说明数据库运行环境、备份恢复、双机/多机热备和访问安全设计。</w:t>
      </w:r>
    </w:p>
    <w:p>
      <w:pPr>
        <w:pStyle w:val="Normal"/>
      </w:pPr>
      <w:r>
        <w:t xml:space="preserve">• 数据库默认采用 MySQL 8.0，字符集采用 utf8mb4，存储引擎采用 InnoDB。</w:t>
      </w:r>
    </w:p>
    <w:p/>
    <w:p>
      <w:pPr>
        <w:pStyle w:val="Heading1"/>
      </w:pPr>
      <w:r>
        <w:t xml:space="preserve">2. 运行环境设计</w:t>
      </w:r>
    </w:p>
    <w:p/>
    <w:p>
      <w:pPr>
        <w:pStyle w:val="Heading2"/>
      </w:pPr>
      <w:r>
        <w:t xml:space="preserve">2.1 硬件环境</w:t>
      </w:r>
    </w:p>
    <w:p/>
    <w:p>
      <w:pPr>
        <w:pStyle w:val="Normal"/>
      </w:pPr>
      <w:r>
        <w:t xml:space="preserve">• 数据库应与应用服务分离部署，生产环境不得与业务应用混布。</w:t>
      </w:r>
    </w:p>
    <w:p>
      <w:pPr>
        <w:pStyle w:val="Normal"/>
      </w:pPr>
      <w:r>
        <w:t xml:space="preserve">• 生产环境建议至少配置主库、备库、备份存储三类资源。</w:t>
      </w:r>
    </w:p>
    <w:p>
      <w:pPr>
        <w:pStyle w:val="Normal"/>
      </w:pPr>
      <w:r>
        <w:t xml:space="preserve">• 推荐配置如下：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pPr>
              <w:shd w:val="clear" w:color="auto" w:fill="D9E2F3"/>
            </w:pPr>
            <w:r>
              <w:rPr>
                <w:b/>
              </w:rPr>
              <w:t xml:space="preserve">节点类型</w:t>
            </w:r>
          </w:p>
        </w:tc>
        <w:tc>
          <w:tcPr>
            <w:tcW w:w="1800" w:type="dxa"/>
          </w:tcPr>
          <w:p>
            <w:pPr>
              <w:shd w:val="clear" w:color="auto" w:fill="D9E2F3"/>
            </w:pPr>
            <w:r>
              <w:rPr>
                <w:b/>
              </w:rPr>
              <w:t xml:space="preserve">CPU</w:t>
            </w:r>
          </w:p>
        </w:tc>
        <w:tc>
          <w:tcPr>
            <w:tcW w:w="1800" w:type="dxa"/>
          </w:tcPr>
          <w:p>
            <w:pPr>
              <w:shd w:val="clear" w:color="auto" w:fill="D9E2F3"/>
            </w:pPr>
            <w:r>
              <w:rPr>
                <w:b/>
              </w:rPr>
              <w:t xml:space="preserve">内存</w:t>
            </w:r>
          </w:p>
        </w:tc>
        <w:tc>
          <w:tcPr>
            <w:tcW w:w="1800" w:type="dxa"/>
          </w:tcPr>
          <w:p>
            <w:pPr>
              <w:shd w:val="clear" w:color="auto" w:fill="D9E2F3"/>
            </w:pPr>
            <w:r>
              <w:rPr>
                <w:b/>
              </w:rPr>
              <w:t xml:space="preserve">磁盘</w:t>
            </w:r>
          </w:p>
        </w:tc>
        <w:tc>
          <w:tcPr>
            <w:tcW w:w="1800" w:type="dxa"/>
          </w:tcPr>
          <w:p>
            <w:pPr>
              <w:shd w:val="clear" w:color="auto" w:fill="D9E2F3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pPr/>
            <w:r>
              <w:rPr/>
              <w:t xml:space="preserve">主库</w:t>
            </w:r>
          </w:p>
        </w:tc>
        <w:tc>
          <w:tcPr>
            <w:tcW w:w="1800" w:type="dxa"/>
          </w:tcPr>
          <w:p>
            <w:pPr/>
            <w:r>
              <w:rPr/>
              <w:t xml:space="preserve">8核及以上</w:t>
            </w:r>
          </w:p>
        </w:tc>
        <w:tc>
          <w:tcPr>
            <w:tcW w:w="1800" w:type="dxa"/>
          </w:tcPr>
          <w:p>
            <w:pPr/>
            <w:r>
              <w:rPr/>
              <w:t xml:space="preserve">32GB及以上</w:t>
            </w:r>
          </w:p>
        </w:tc>
        <w:tc>
          <w:tcPr>
            <w:tcW w:w="1800" w:type="dxa"/>
          </w:tcPr>
          <w:p>
            <w:pPr/>
            <w:r>
              <w:rPr/>
              <w:t xml:space="preserve">系统盘 200GB SSD，数据盘 500GB SSD/NVMe</w:t>
            </w:r>
          </w:p>
        </w:tc>
        <w:tc>
          <w:tcPr>
            <w:tcW w:w="1800" w:type="dxa"/>
          </w:tcPr>
          <w:p>
            <w:pPr/>
            <w:r>
              <w:rPr/>
              <w:t xml:space="preserve">承担全部写请求</w:t>
            </w:r>
          </w:p>
        </w:tc>
      </w:tr>
      <w:tr>
        <w:tc>
          <w:tcPr>
            <w:tcW w:w="1800" w:type="dxa"/>
          </w:tcPr>
          <w:p>
            <w:pPr/>
            <w:r>
              <w:rPr/>
              <w:t xml:space="preserve">备库</w:t>
            </w:r>
          </w:p>
        </w:tc>
        <w:tc>
          <w:tcPr>
            <w:tcW w:w="1800" w:type="dxa"/>
          </w:tcPr>
          <w:p>
            <w:pPr/>
            <w:r>
              <w:rPr/>
              <w:t xml:space="preserve">8核及以上</w:t>
            </w:r>
          </w:p>
        </w:tc>
        <w:tc>
          <w:tcPr>
            <w:tcW w:w="1800" w:type="dxa"/>
          </w:tcPr>
          <w:p>
            <w:pPr/>
            <w:r>
              <w:rPr/>
              <w:t xml:space="preserve">32GB及以上</w:t>
            </w:r>
          </w:p>
        </w:tc>
        <w:tc>
          <w:tcPr>
            <w:tcW w:w="1800" w:type="dxa"/>
          </w:tcPr>
          <w:p>
            <w:pPr/>
            <w:r>
              <w:rPr/>
              <w:t xml:space="preserve">系统盘 200GB SSD，数据盘 500GB SSD/NVMe</w:t>
            </w:r>
          </w:p>
        </w:tc>
        <w:tc>
          <w:tcPr>
            <w:tcW w:w="1800" w:type="dxa"/>
          </w:tcPr>
          <w:p>
            <w:pPr/>
            <w:r>
              <w:rPr/>
              <w:t xml:space="preserve">实时复制、故障接管</w:t>
            </w:r>
          </w:p>
        </w:tc>
      </w:tr>
      <w:tr>
        <w:tc>
          <w:tcPr>
            <w:tcW w:w="1800" w:type="dxa"/>
          </w:tcPr>
          <w:p>
            <w:pPr/>
            <w:r>
              <w:rPr/>
              <w:t xml:space="preserve">备份节点</w:t>
            </w:r>
          </w:p>
        </w:tc>
        <w:tc>
          <w:tcPr>
            <w:tcW w:w="1800" w:type="dxa"/>
          </w:tcPr>
          <w:p>
            <w:pPr/>
            <w:r>
              <w:rPr/>
              <w:t xml:space="preserve">4核及以上</w:t>
            </w:r>
          </w:p>
        </w:tc>
        <w:tc>
          <w:tcPr>
            <w:tcW w:w="1800" w:type="dxa"/>
          </w:tcPr>
          <w:p>
            <w:pPr/>
            <w:r>
              <w:rPr/>
              <w:t xml:space="preserve">16GB及以上</w:t>
            </w:r>
          </w:p>
        </w:tc>
        <w:tc>
          <w:tcPr>
            <w:tcW w:w="1800" w:type="dxa"/>
          </w:tcPr>
          <w:p>
            <w:pPr/>
            <w:r>
              <w:rPr/>
              <w:t xml:space="preserve">不低于现网数据量 3 倍</w:t>
            </w:r>
          </w:p>
        </w:tc>
        <w:tc>
          <w:tcPr>
            <w:tcW w:w="1800" w:type="dxa"/>
          </w:tcPr>
          <w:p>
            <w:pPr/>
            <w:r>
              <w:rPr/>
              <w:t xml:space="preserve">存放全量和日志备份</w:t>
            </w:r>
          </w:p>
        </w:tc>
      </w:tr>
    </w:tbl>
    <w:p/>
    <w:p/>
    <w:p>
      <w:pPr>
        <w:pStyle w:val="Normal"/>
      </w:pPr>
      <w:r>
        <w:t xml:space="preserve">• 容量规划重点关注 sa_session_message、sa_task、sa_execution_step、sa_invoke_log、sa_runtime_metric 等高增长表。</w:t>
      </w:r>
    </w:p>
    <w:p/>
    <w:p>
      <w:pPr>
        <w:pStyle w:val="Heading2"/>
      </w:pPr>
      <w:r>
        <w:t xml:space="preserve">2.2 软件环境</w:t>
      </w:r>
    </w:p>
    <w:p/>
    <w:p>
      <w:pPr>
        <w:pStyle w:val="Normal"/>
      </w:pPr>
      <w:r>
        <w:t xml:space="preserve">• 操作系统建议采用 CentOS 7.9+、Rocky Linux 8+ 或 openEuler 22+。</w:t>
      </w:r>
    </w:p>
    <w:p>
      <w:pPr>
        <w:pStyle w:val="Normal"/>
      </w:pPr>
      <w:r>
        <w:t xml:space="preserve">• 数据库版本采用 MySQL 8.0.x。</w:t>
      </w:r>
    </w:p>
    <w:p>
      <w:pPr>
        <w:pStyle w:val="Normal"/>
      </w:pPr>
      <w:r>
        <w:t xml:space="preserve">• 建议开启 binlog、GTID、严格模式和事务落盘参数，保证数据一致性。</w:t>
      </w:r>
    </w:p>
    <w:p>
      <w:pPr>
        <w:pStyle w:val="Normal"/>
      </w:pPr>
      <w:r>
        <w:t xml:space="preserve">• 高频写入表应控制索引数量，JSON、TEXT、LONGTEXT 字段主要用于快照和扩展信息，不作为复杂过滤主条件。</w:t>
      </w:r>
    </w:p>
    <w:p/>
    <w:p>
      <w:pPr>
        <w:pStyle w:val="Heading2"/>
      </w:pPr>
      <w:r>
        <w:t xml:space="preserve">2.3 网络环境</w:t>
      </w:r>
    </w:p>
    <w:p/>
    <w:p>
      <w:pPr>
        <w:pStyle w:val="Normal"/>
      </w:pPr>
      <w:r>
        <w:t xml:space="preserve">• 数据库部署于独立数据子网，仅允许应用节点、备份节点、监控节点和堡垒机访问。</w:t>
      </w:r>
    </w:p>
    <w:p>
      <w:pPr>
        <w:pStyle w:val="Normal"/>
      </w:pPr>
      <w:r>
        <w:t xml:space="preserve">• 数据库不得直接暴露公网。</w:t>
      </w:r>
    </w:p>
    <w:p>
      <w:pPr>
        <w:pStyle w:val="Normal"/>
      </w:pPr>
      <w:r>
        <w:t xml:space="preserve">• 主备复制、备份传输、恢复操作应走内网或加密通道。</w:t>
      </w:r>
    </w:p>
    <w:p>
      <w:pPr>
        <w:pStyle w:val="Normal"/>
      </w:pPr>
      <w:r>
        <w:t xml:space="preserve">• 生产环境应通过安全组、ACL 或防火墙限制来源 IP 和访问端口。</w:t>
      </w:r>
    </w:p>
    <w:p/>
    <w:p>
      <w:pPr>
        <w:pStyle w:val="Heading1"/>
      </w:pPr>
      <w:r>
        <w:t xml:space="preserve">3. 备份与恢复设计</w:t>
      </w:r>
    </w:p>
    <w:p/>
    <w:p>
      <w:pPr>
        <w:pStyle w:val="Heading2"/>
      </w:pPr>
      <w:r>
        <w:t xml:space="preserve">3.1 备份设计</w:t>
      </w:r>
    </w:p>
    <w:p/>
    <w:p>
      <w:pPr>
        <w:pStyle w:val="Normal"/>
      </w:pPr>
      <w:r>
        <w:t xml:space="preserve">• 备份目标：</w:t>
      </w:r>
    </w:p>
    <w:p>
      <w:pPr>
        <w:pStyle w:val="Normal"/>
      </w:pPr>
      <w:r>
        <w:t xml:space="preserve">• 满足故障、误删除、逻辑错误、节点损坏场景下的数据恢复要求。</w:t>
      </w:r>
    </w:p>
    <w:p>
      <w:pPr>
        <w:pStyle w:val="Normal"/>
      </w:pPr>
      <w:r>
        <w:t xml:space="preserve">• 生产环境建议 RPO 不高于 5 分钟，RTO 不高于 2 小时。</w:t>
      </w:r>
    </w:p>
    <w:p>
      <w:pPr>
        <w:pStyle w:val="Normal"/>
      </w:pPr>
      <w:r>
        <w:t xml:space="preserve">• 备份范围：</w:t>
      </w:r>
    </w:p>
    <w:p>
      <w:pPr>
        <w:pStyle w:val="Normal"/>
      </w:pPr>
      <w:r>
        <w:t xml:space="preserve">• 全库物理备份</w:t>
      </w:r>
    </w:p>
    <w:p>
      <w:pPr>
        <w:pStyle w:val="Normal"/>
      </w:pPr>
      <w:r>
        <w:t xml:space="preserve">• binlog 日志备份</w:t>
      </w:r>
    </w:p>
    <w:p>
      <w:pPr>
        <w:pStyle w:val="Normal"/>
      </w:pPr>
      <w:r>
        <w:t xml:space="preserve">• 参数配置和账号授权配置备份</w:t>
      </w:r>
    </w:p>
    <w:p>
      <w:pPr>
        <w:pStyle w:val="Normal"/>
      </w:pPr>
      <w:r>
        <w:t xml:space="preserve">• 备份策略：</w:t>
      </w:r>
    </w:p>
    <w:p>
      <w:pPr>
        <w:pStyle w:val="Normal"/>
      </w:pPr>
      <w:r>
        <w:t xml:space="preserve">• 每周至少 1 次全量备份</w:t>
      </w:r>
    </w:p>
    <w:p>
      <w:pPr>
        <w:pStyle w:val="Normal"/>
      </w:pPr>
      <w:r>
        <w:t xml:space="preserve">• 每天至少 1 次增量或差异备份</w:t>
      </w:r>
    </w:p>
    <w:p>
      <w:pPr>
        <w:pStyle w:val="Normal"/>
      </w:pPr>
      <w:r>
        <w:t xml:space="preserve">• binlog 实时或按小时归档</w:t>
      </w:r>
    </w:p>
    <w:p>
      <w:pPr>
        <w:pStyle w:val="Normal"/>
      </w:pPr>
      <w:r>
        <w:t xml:space="preserve">• 备份文件至少保留本地和异机两份</w:t>
      </w:r>
    </w:p>
    <w:p>
      <w:pPr>
        <w:pStyle w:val="Normal"/>
      </w:pPr>
      <w:r>
        <w:t xml:space="preserve">• 保留周期建议：</w:t>
      </w:r>
    </w:p>
    <w:p>
      <w:pPr>
        <w:pStyle w:val="Normal"/>
      </w:pPr>
      <w:r>
        <w:t xml:space="preserve">• 全量备份保留 4 周以上</w:t>
      </w:r>
    </w:p>
    <w:p>
      <w:pPr>
        <w:pStyle w:val="Normal"/>
      </w:pPr>
      <w:r>
        <w:t xml:space="preserve">• 增量备份保留 2 周以上</w:t>
      </w:r>
    </w:p>
    <w:p>
      <w:pPr>
        <w:pStyle w:val="Normal"/>
      </w:pPr>
      <w:r>
        <w:t xml:space="preserve">• binlog 保留 7 至 14 天</w:t>
      </w:r>
    </w:p>
    <w:p/>
    <w:p>
      <w:pPr>
        <w:pStyle w:val="Heading2"/>
      </w:pPr>
      <w:r>
        <w:t xml:space="preserve">3.2 恢复设计</w:t>
      </w:r>
    </w:p>
    <w:p/>
    <w:p>
      <w:pPr>
        <w:pStyle w:val="Normal"/>
      </w:pPr>
      <w:r>
        <w:t xml:space="preserve">• 支持以下恢复场景：</w:t>
      </w:r>
    </w:p>
    <w:p>
      <w:pPr>
        <w:pStyle w:val="Normal"/>
      </w:pPr>
      <w:r>
        <w:t xml:space="preserve">• 单表误删误更新恢复</w:t>
      </w:r>
    </w:p>
    <w:p>
      <w:pPr>
        <w:pStyle w:val="Normal"/>
      </w:pPr>
      <w:r>
        <w:t xml:space="preserve">• 单实例故障恢复</w:t>
      </w:r>
    </w:p>
    <w:p>
      <w:pPr>
        <w:pStyle w:val="Normal"/>
      </w:pPr>
      <w:r>
        <w:t xml:space="preserve">• 时间点恢复</w:t>
      </w:r>
    </w:p>
    <w:p>
      <w:pPr>
        <w:pStyle w:val="Normal"/>
      </w:pPr>
      <w:r>
        <w:t xml:space="preserve">• 主库故障后重建恢复</w:t>
      </w:r>
    </w:p>
    <w:p>
      <w:pPr>
        <w:pStyle w:val="Normal"/>
      </w:pPr>
      <w:r>
        <w:t xml:space="preserve">• 恢复方式：</w:t>
      </w:r>
    </w:p>
    <w:p>
      <w:pPr>
        <w:pStyle w:val="Normal"/>
      </w:pPr>
      <w:r>
        <w:t xml:space="preserve">• 全量恢复</w:t>
      </w:r>
    </w:p>
    <w:p>
      <w:pPr>
        <w:pStyle w:val="Normal"/>
      </w:pPr>
      <w:r>
        <w:t xml:space="preserve">• 全量加增量恢复</w:t>
      </w:r>
    </w:p>
    <w:p>
      <w:pPr>
        <w:pStyle w:val="Normal"/>
      </w:pPr>
      <w:r>
        <w:t xml:space="preserve">• 基于 binlog 的时间点恢复</w:t>
      </w:r>
    </w:p>
    <w:p>
      <w:pPr>
        <w:pStyle w:val="Normal"/>
      </w:pPr>
      <w:r>
        <w:t xml:space="preserve">• 恢复要求：</w:t>
      </w:r>
    </w:p>
    <w:p>
      <w:pPr>
        <w:pStyle w:val="Normal"/>
      </w:pPr>
      <w:r>
        <w:t xml:space="preserve">• 恢复前优先在隔离环境验证</w:t>
      </w:r>
    </w:p>
    <w:p>
      <w:pPr>
        <w:pStyle w:val="Normal"/>
      </w:pPr>
      <w:r>
        <w:t xml:space="preserve">• 恢复后检查表结构、索引、主从状态和业务抽样结果</w:t>
      </w:r>
    </w:p>
    <w:p>
      <w:pPr>
        <w:pStyle w:val="Normal"/>
      </w:pPr>
      <w:r>
        <w:t xml:space="preserve">• 备份和恢复流程必须自动化，并配置失败告警</w:t>
      </w:r>
    </w:p>
    <w:p>
      <w:pPr>
        <w:pStyle w:val="Normal"/>
      </w:pPr>
      <w:r>
        <w:t xml:space="preserve">• 每季度至少执行一次恢复演练</w:t>
      </w:r>
    </w:p>
    <w:p/>
    <w:p>
      <w:pPr>
        <w:pStyle w:val="Heading1"/>
      </w:pPr>
      <w:r>
        <w:t xml:space="preserve">4. 双机/多机热备设计</w:t>
      </w:r>
    </w:p>
    <w:p/>
    <w:p>
      <w:pPr>
        <w:pStyle w:val="Heading2"/>
      </w:pPr>
      <w:r>
        <w:t xml:space="preserve">4.1 双机热备</w:t>
      </w:r>
    </w:p>
    <w:p/>
    <w:p>
      <w:pPr>
        <w:pStyle w:val="Normal"/>
      </w:pPr>
      <w:r>
        <w:t xml:space="preserve">• 生产环境建议采用 1主1备 架构。</w:t>
      </w:r>
    </w:p>
    <w:p>
      <w:pPr>
        <w:pStyle w:val="Normal"/>
      </w:pPr>
      <w:r>
        <w:t xml:space="preserve">• 主库负责写请求和强一致读，备库通过 GTID 实时复制主库数据。</w:t>
      </w:r>
    </w:p>
    <w:p>
      <w:pPr>
        <w:pStyle w:val="Normal"/>
      </w:pPr>
      <w:r>
        <w:t xml:space="preserve">• 备库可承担只读查询，并在主库故障时切换为新主库。</w:t>
      </w:r>
    </w:p>
    <w:p>
      <w:pPr>
        <w:pStyle w:val="Normal"/>
      </w:pPr>
      <w:r>
        <w:t xml:space="preserve">• 备库应开启 read_only 和 super_read_only。</w:t>
      </w:r>
    </w:p>
    <w:p/>
    <w:p>
      <w:pPr>
        <w:pStyle w:val="Heading2"/>
      </w:pPr>
      <w:r>
        <w:t xml:space="preserve">4.2 多机热备</w:t>
      </w:r>
    </w:p>
    <w:p/>
    <w:p>
      <w:pPr>
        <w:pStyle w:val="Normal"/>
      </w:pPr>
      <w:r>
        <w:t xml:space="preserve">• 对查询压力较大或存在容灾要求的场景，可采用 1主2从 或 1主1同城备1异地备 架构。</w:t>
      </w:r>
    </w:p>
    <w:p>
      <w:pPr>
        <w:pStyle w:val="Normal"/>
      </w:pPr>
      <w:r>
        <w:t xml:space="preserve">• 同城备用于高可用切换，异地备用于灾难恢复。</w:t>
      </w:r>
    </w:p>
    <w:p>
      <w:pPr>
        <w:pStyle w:val="Normal"/>
      </w:pPr>
      <w:r>
        <w:t xml:space="preserve">• V1 阶段不建议采用双活数据库架构，避免双写和一致性复杂度。</w:t>
      </w:r>
    </w:p>
    <w:p/>
    <w:p>
      <w:pPr>
        <w:pStyle w:val="Heading2"/>
      </w:pPr>
      <w:r>
        <w:t xml:space="preserve">4.3 切换要求</w:t>
      </w:r>
    </w:p>
    <w:p/>
    <w:p>
      <w:pPr>
        <w:pStyle w:val="Normal"/>
      </w:pPr>
      <w:r>
        <w:t xml:space="preserve">• 切换机制建议采用“自动探测 + 人工确认”模式。</w:t>
      </w:r>
    </w:p>
    <w:p>
      <w:pPr>
        <w:pStyle w:val="Normal"/>
      </w:pPr>
      <w:r>
        <w:t xml:space="preserve">• 切换流程应包括：故障判定、备库状态确认、备库提升、应用连接切换、旧主隔离、新拓扑重建。</w:t>
      </w:r>
    </w:p>
    <w:p>
      <w:pPr>
        <w:pStyle w:val="Normal"/>
      </w:pPr>
      <w:r>
        <w:t xml:space="preserve">• 主备复制延迟、复制中断和节点存活状态应纳入监控告警。</w:t>
      </w:r>
    </w:p>
    <w:p/>
    <w:p>
      <w:pPr>
        <w:pStyle w:val="Heading1"/>
      </w:pPr>
      <w:r>
        <w:t xml:space="preserve">5. 数据库访问安全性设计</w:t>
      </w:r>
    </w:p>
    <w:p/>
    <w:p>
      <w:pPr>
        <w:pStyle w:val="Heading2"/>
      </w:pPr>
      <w:r>
        <w:t xml:space="preserve">5.1 账号与权限安全</w:t>
      </w:r>
    </w:p>
    <w:p/>
    <w:p>
      <w:pPr>
        <w:pStyle w:val="Normal"/>
      </w:pPr>
      <w:r>
        <w:t xml:space="preserve">• 遵循最小权限原则，数据库账号按应用、运维、备份、监控分角色创建。</w:t>
      </w:r>
    </w:p>
    <w:p>
      <w:pPr>
        <w:pStyle w:val="Normal"/>
      </w:pPr>
      <w:r>
        <w:t xml:space="preserve">• 应用账号仅授予必要的增删改查权限，不使用高权限账号直连数据库。</w:t>
      </w:r>
    </w:p>
    <w:p>
      <w:pPr>
        <w:pStyle w:val="Normal"/>
      </w:pPr>
      <w:r>
        <w:t xml:space="preserve">• 不同环境使用不同实例、不同账号和不同密码，禁止混用。</w:t>
      </w:r>
    </w:p>
    <w:p/>
    <w:p>
      <w:pPr>
        <w:pStyle w:val="Heading2"/>
      </w:pPr>
      <w:r>
        <w:t xml:space="preserve">5.2 网络与访问控制</w:t>
      </w:r>
    </w:p>
    <w:p/>
    <w:p>
      <w:pPr>
        <w:pStyle w:val="Normal"/>
      </w:pPr>
      <w:r>
        <w:t xml:space="preserve">• 数据库仅允许白名单主机访问。</w:t>
      </w:r>
    </w:p>
    <w:p>
      <w:pPr>
        <w:pStyle w:val="Normal"/>
      </w:pPr>
      <w:r>
        <w:t xml:space="preserve">• 生产库管理操作应通过堡垒机或跳板机进行。</w:t>
      </w:r>
    </w:p>
    <w:p>
      <w:pPr>
        <w:pStyle w:val="Normal"/>
      </w:pPr>
      <w:r>
        <w:t xml:space="preserve">• 禁止办公网终端直接访问生产数据库。</w:t>
      </w:r>
    </w:p>
    <w:p>
      <w:pPr>
        <w:pStyle w:val="Normal"/>
      </w:pPr>
      <w:r>
        <w:t xml:space="preserve">• 数据库节点应关闭无关端口和无关服务。</w:t>
      </w:r>
    </w:p>
    <w:p/>
    <w:p>
      <w:pPr>
        <w:pStyle w:val="Heading2"/>
      </w:pPr>
      <w:r>
        <w:t xml:space="preserve">5.3 数据安全</w:t>
      </w:r>
    </w:p>
    <w:p/>
    <w:p>
      <w:pPr>
        <w:pStyle w:val="Normal"/>
      </w:pPr>
      <w:r>
        <w:t xml:space="preserve">• 敏感字段应采用密文存储、脱敏展示或摘要存储。</w:t>
      </w:r>
    </w:p>
    <w:p>
      <w:pPr>
        <w:pStyle w:val="Normal"/>
      </w:pPr>
      <w:r>
        <w:t xml:space="preserve">• 重点保护字段包括：</w:t>
      </w:r>
    </w:p>
    <w:p>
      <w:pPr>
        <w:pStyle w:val="Normal"/>
      </w:pPr>
      <w:r>
        <w:t xml:space="preserve">• sa_datasource.password</w:t>
      </w:r>
    </w:p>
    <w:p>
      <w:pPr>
        <w:pStyle w:val="Normal"/>
      </w:pPr>
      <w:r>
        <w:t xml:space="preserve">• sa_model_config.api_key_cipher</w:t>
      </w:r>
    </w:p>
    <w:p>
      <w:pPr>
        <w:pStyle w:val="Normal"/>
      </w:pPr>
      <w:r>
        <w:t xml:space="preserve">• sa_api_key.api_key</w:t>
      </w:r>
    </w:p>
    <w:p>
      <w:pPr>
        <w:pStyle w:val="Normal"/>
      </w:pPr>
      <w:r>
        <w:t xml:space="preserve">• 备份文件必须加密存储，导出数据和测试数据应按要求脱敏。</w:t>
      </w:r>
    </w:p>
    <w:p/>
    <w:p>
      <w:pPr>
        <w:pStyle w:val="Heading2"/>
      </w:pPr>
      <w:r>
        <w:t xml:space="preserve">5.4 审计与安全基线</w:t>
      </w:r>
    </w:p>
    <w:p/>
    <w:p>
      <w:pPr>
        <w:pStyle w:val="Normal"/>
      </w:pPr>
      <w:r>
        <w:t xml:space="preserve">• 应记录登录、失败登录、授权变更、备份恢复、主备切换等关键操作。</w:t>
      </w:r>
    </w:p>
    <w:p>
      <w:pPr>
        <w:pStyle w:val="Normal"/>
      </w:pPr>
      <w:r>
        <w:t xml:space="preserve">• 生产环境 DDL、批量更新、批量删除操作应纳入审计。</w:t>
      </w:r>
    </w:p>
    <w:p>
      <w:pPr>
        <w:pStyle w:val="Normal"/>
      </w:pPr>
      <w:r>
        <w:t xml:space="preserve">• 应定期开展安全巡检，重点检查账号权限、网络开放面、备份状态和复制状态。</w:t>
      </w:r>
    </w:p>
    <w:p/>
    <w:p>
      <w:pPr>
        <w:pStyle w:val="Heading1"/>
      </w:pPr>
      <w:r>
        <w:t xml:space="preserve">6. 运维要求</w:t>
      </w:r>
    </w:p>
    <w:p/>
    <w:p>
      <w:pPr>
        <w:pStyle w:val="Normal"/>
      </w:pPr>
      <w:r>
        <w:t xml:space="preserve">• 应建立数据库监控，覆盖实例可用性、连接数、慢 SQL、磁盘使用率、主从复制延迟、备份结果等指标。</w:t>
      </w:r>
    </w:p>
    <w:p>
      <w:pPr>
        <w:pStyle w:val="Normal"/>
      </w:pPr>
      <w:r>
        <w:t xml:space="preserve">• 对 sa_session_message、sa_execution_step、sa_invoke_log、sa_runtime_metric 等运行类大表应制定归档策略，避免长期占用主库存储。</w:t>
      </w:r>
    </w:p>
    <w:p>
      <w:pPr>
        <w:pStyle w:val="Normal"/>
      </w:pPr>
      <w:r>
        <w:t xml:space="preserve">• 生产环境数据库建设至少满足以下要求：</w:t>
      </w:r>
    </w:p>
    <w:p>
      <w:pPr>
        <w:pStyle w:val="Normal"/>
      </w:pPr>
      <w:r>
        <w:t xml:space="preserve">• 独立部署</w:t>
      </w:r>
    </w:p>
    <w:p>
      <w:pPr>
        <w:pStyle w:val="Normal"/>
      </w:pPr>
      <w:r>
        <w:t xml:space="preserve">• 主备高可用</w:t>
      </w:r>
    </w:p>
    <w:p>
      <w:pPr>
        <w:pStyle w:val="Normal"/>
      </w:pPr>
      <w:r>
        <w:t xml:space="preserve">• 全量备份和时间点恢复</w:t>
      </w:r>
    </w:p>
    <w:p>
      <w:pPr>
        <w:pStyle w:val="Normal"/>
      </w:pPr>
      <w:r>
        <w:t xml:space="preserve">• 白名单访问控制</w:t>
      </w:r>
    </w:p>
    <w:p>
      <w:pPr>
        <w:pStyle w:val="Normal"/>
      </w:pPr>
      <w:r>
        <w:t xml:space="preserve">• 敏感数据加密</w:t>
      </w:r>
    </w:p>
    <w:p>
      <w:pPr>
        <w:pStyle w:val="Normal"/>
      </w:pPr>
      <w:r>
        <w:t xml:space="preserve">• 恢复演练机制</w:t>
      </w:r>
    </w:p>
    <w:p/>
    <w:p>
      <w:pPr>
        <w:pStyle w:val="Heading1"/>
      </w:pPr>
      <w:r>
        <w:t xml:space="preserve">7. 结论</w:t>
      </w:r>
    </w:p>
    <w:p/>
    <w:p>
      <w:pPr>
        <w:pStyle w:val="Normal"/>
      </w:pPr>
      <w:r>
        <w:t xml:space="preserve">• SophicAgent 数据库运行设计应以高可靠、可恢复和安全可控为目标。</w:t>
      </w:r>
    </w:p>
    <w:p>
      <w:pPr>
        <w:pStyle w:val="Normal"/>
      </w:pPr>
      <w:r>
        <w:t xml:space="preserve">• V1 阶段建议采用成熟的 MySQL 主备高可用方案，优先保障核心业务数据和运行日志数据安全。</w:t>
      </w:r>
    </w:p>
    <w:sectPr>
      <w:pgSz w:w="11906" w:h="16838"/>
      <w:pgMar w:top="1440" w:right="1800" w:bottom="1440" w:left="180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eastAsia="宋体"/>
      <w:sz w:val="24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SimHei" w:hAnsi="SimHei" w:eastAsia="黑体"/>
      <w:b/>
      <w:sz w:val="36"/>
    </w:rPr>
  </w:style>
  <w:style w:type="paragraph" w:styleId="Heading1">
    <w:name w:val="heading 1"/>
    <w:basedOn w:val="Normal"/>
    <w:qFormat/>
    <w:pPr>
      <w:spacing w:before="240" w:after="180"/>
    </w:pPr>
    <w:rPr>
      <w:rFonts w:ascii="SimHei" w:hAnsi="SimHei" w:eastAsia="黑体"/>
      <w:b/>
      <w:sz w:val="32"/>
    </w:rPr>
  </w:style>
  <w:style w:type="paragraph" w:styleId="Heading2">
    <w:name w:val="heading 2"/>
    <w:basedOn w:val="Normal"/>
    <w:qFormat/>
    <w:pPr>
      <w:spacing w:before="180" w:after="120"/>
    </w:pPr>
    <w:rPr>
      <w:rFonts w:ascii="SimHei" w:hAnsi="SimHei" w:eastAsia="黑体"/>
      <w:b/>
      <w:sz w:val="28"/>
    </w:rPr>
  </w:style>
  <w:style w:type="paragraph" w:styleId="Heading3">
    <w:name w:val="heading 3"/>
    <w:basedOn w:val="Normal"/>
    <w:qFormat/>
    <w:pPr>
      <w:spacing w:before="120" w:after="120"/>
    </w:pPr>
    <w:rPr>
      <w:rFonts w:ascii="SimHei" w:hAnsi="SimHei" w:eastAsia="黑体"/>
      <w:b/>
      <w:sz w:val="24"/>
    </w:rPr>
  </w:style>
</w:styles>
</file>

<file path=word/_rels/document.xml.rels><?xml version="1.0" encoding="UTF-8" standalone="yes"?>
<Relationships xmlns="http://schemas.openxmlformats.org/package/2006/relationships"/>

</file>