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非反転増幅回路の特性</w:t>
      </w:r>
    </w:p>
    <w:p>
      <w:r>
        <w:t xml:space="preserve"/>
      </w:r>
    </w:p>
    <w:p>
      <w:pPr>
        <w:pStyle w:val="Heading2"/>
      </w:pPr>
      <w:r>
        <w:t xml:space="preserve">1.1 反転増幅回路の直流利得特性</w:t>
      </w:r>
    </w:p>
    <w:p>
      <w:r>
        <w:t xml:space="preserve"/>
      </w:r>
    </w:p>
    <w:p>
      <w:pPr>
        <w:pStyle w:val="Heading3"/>
      </w:pPr>
      <w:r>
        <w:t xml:space="preserve">(1-1) 入力電圧と出力電圧の関係</w:t>
      </w:r>
    </w:p>
    <w:p>
      <w:r>
        <w:t xml:space="preserve"/>
      </w:r>
    </w:p>
    <w:p>
      <w:r>
        <w:t xml:space="preserve">本実験では、無負荷状態で非反転増幅回路の特性を調査した。具体的には、入力電圧に対する出力電圧を測定し、回路の利得を評価した。表1.1.1に示すように、入力電圧Vi、出力電圧Vo、および利得Avを測定し、各入力電圧における入出力の関係を明確にした。図1.1.1はこの入出力電圧が比例関係にあることを示すグラフである。この実験から、非反転増幅回路の利得は約20.4 dBで安定していることがわかった。</w:t>
      </w:r>
    </w:p>
    <w:p>
      <w:r>
        <w:t xml:space="preserve"/>
      </w:r>
    </w:p>
    <w:p>
      <w:r>
        <w:t xml:space="preserve"/>
      </w:r>
    </w:p>
    <w:p>
      <w:r>
        <w:t xml:space="preserve"/>
      </w:r>
    </w:p>
    <w:p>
      <w:r>
        <w:t xml:space="preserve">結果を表1.1.1、図1.1.1に示す。</w:t>
      </w:r>
    </w:p>
    <w:p>
      <w:r>
        <w:t xml:space="preserve"/>
      </w:r>
    </w:p>
    <w:p>
      <w:r>
        <w:t xml:space="preserve"/>
      </w:r>
    </w:p>
    <w:p>
      <w:r>
        <w:t xml:space="preserve"/>
      </w:r>
    </w:p>
    <w:p>
      <w:r>
        <w:t xml:space="preserve"/>
      </w:r>
    </w:p>
    <w:p>
      <w:r>
        <w:t xml:space="preserve">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880"/>
              <w:gridCol w:w="2880"/>
              <w:gridCol w:w="2880"/>
            </w:tblGrid>
            <w:tr>
              <w:tc>
                <w:tcPr>
                  <w:tcW w:type="dxa" w:w="2880"/>
                  <w:vAlign w:val="center"/>
                </w:tcPr>
                <w:p>
                  <w:pPr>
                    <w:keepNext/>
                    <w:jc w:val="center"/>
                  </w:pPr>
                  <m:oMath>
                    <m:r>
                      <m:rPr/>
                      <m:t>入力電圧 Vi [V]</m:t>
                    </m:r>
                  </m:oMath>
                </w:p>
              </w:tc>
              <w:tc>
                <w:tcPr>
                  <w:tcW w:type="dxa" w:w="2880"/>
                  <w:vAlign w:val="center"/>
                </w:tcPr>
                <w:p>
                  <w:pPr>
                    <w:keepNext/>
                    <w:jc w:val="center"/>
                  </w:pPr>
                  <m:oMath>
                    <m:r>
                      <m:rPr/>
                      <m:t>出力電圧 Vo [V]</m:t>
                    </m:r>
                  </m:oMath>
                </w:p>
              </w:tc>
              <w:tc>
                <w:tcPr>
                  <w:tcW w:type="dxa" w:w="2880"/>
                  <w:vAlign w:val="center"/>
                </w:tcPr>
                <w:p>
                  <w:pPr>
                    <w:keepNext/>
                    <w:jc w:val="center"/>
                  </w:pPr>
                  <m:oMath>
                    <m:r>
                      <m:rPr/>
                      <m:t>利得 Av [dB]</m:t>
                    </m:r>
                  </m:oMath>
                </w:p>
              </w:tc>
              <w:trPr>
                <w:cantSplit/>
              </w:trPr>
            </w:tr>
            <w:tr>
              <w:tc>
                <w:tcPr>
                  <w:tcW w:type="dxa" w:w="2880"/>
                  <w:vAlign w:val="center"/>
                </w:tcPr>
                <w:p>
                  <w:pPr>
                    <w:keepNext/>
                    <w:jc w:val="center"/>
                  </w:pPr>
                  <w:r>
                    <w:t>0.1</w:t>
                  </w:r>
                </w:p>
              </w:tc>
              <w:tc>
                <w:tcPr>
                  <w:tcW w:type="dxa" w:w="2880"/>
                  <w:vAlign w:val="center"/>
                </w:tcPr>
                <w:p>
                  <w:pPr>
                    <w:keepNext/>
                    <w:jc w:val="center"/>
                  </w:pPr>
                  <w:r>
                    <w:t>1.05</w:t>
                  </w:r>
                </w:p>
              </w:tc>
              <w:tc>
                <w:tcPr>
                  <w:tcW w:type="dxa" w:w="2880"/>
                  <w:vAlign w:val="center"/>
                </w:tcPr>
                <w:p>
                  <w:pPr>
                    <w:keepNext/>
                    <w:jc w:val="center"/>
                  </w:pPr>
                  <w:r>
                    <w:t>20.4</w:t>
                  </w:r>
                </w:p>
              </w:tc>
              <w:trPr>
                <w:cantSplit/>
              </w:trPr>
            </w:tr>
            <w:tr>
              <w:tc>
                <w:tcPr>
                  <w:tcW w:type="dxa" w:w="2880"/>
                  <w:vAlign w:val="center"/>
                </w:tcPr>
                <w:p>
                  <w:pPr>
                    <w:keepNext/>
                    <w:jc w:val="center"/>
                  </w:pPr>
                  <w:r>
                    <w:t>0.2</w:t>
                  </w:r>
                </w:p>
              </w:tc>
              <w:tc>
                <w:tcPr>
                  <w:tcW w:type="dxa" w:w="2880"/>
                  <w:vAlign w:val="center"/>
                </w:tcPr>
                <w:p>
                  <w:pPr>
                    <w:keepNext/>
                    <w:jc w:val="center"/>
                  </w:pPr>
                  <w:r>
                    <w:t>2.10</w:t>
                  </w:r>
                </w:p>
              </w:tc>
              <w:tc>
                <w:tcPr>
                  <w:tcW w:type="dxa" w:w="2880"/>
                  <w:vAlign w:val="center"/>
                </w:tcPr>
                <w:p>
                  <w:pPr>
                    <w:keepNext/>
                    <w:jc w:val="center"/>
                  </w:pPr>
                  <w:r>
                    <w:t>20.4</w:t>
                  </w:r>
                </w:p>
              </w:tc>
              <w:trPr>
                <w:cantSplit/>
              </w:trPr>
            </w:tr>
            <w:tr>
              <w:tc>
                <w:tcPr>
                  <w:tcW w:type="dxa" w:w="2880"/>
                  <w:vAlign w:val="center"/>
                </w:tcPr>
                <w:p>
                  <w:pPr>
                    <w:keepNext/>
                    <w:jc w:val="center"/>
                  </w:pPr>
                  <w:r>
                    <w:t>0.5</w:t>
                  </w:r>
                </w:p>
              </w:tc>
              <w:tc>
                <w:tcPr>
                  <w:tcW w:type="dxa" w:w="2880"/>
                  <w:vAlign w:val="center"/>
                </w:tcPr>
                <w:p>
                  <w:pPr>
                    <w:keepNext/>
                    <w:jc w:val="center"/>
                  </w:pPr>
                  <w:r>
                    <w:t>5.25</w:t>
                  </w:r>
                </w:p>
              </w:tc>
              <w:tc>
                <w:tcPr>
                  <w:tcW w:type="dxa" w:w="2880"/>
                  <w:vAlign w:val="center"/>
                </w:tcPr>
                <w:p>
                  <w:pPr>
                    <w:keepNext/>
                    <w:jc w:val="center"/>
                  </w:pPr>
                  <w:r>
                    <w:t>20.4</w:t>
                  </w:r>
                </w:p>
              </w:tc>
              <w:trPr>
                <w:cantSplit/>
              </w:trPr>
            </w:tr>
            <w:tr>
              <w:tc>
                <w:tcPr>
                  <w:tcW w:type="dxa" w:w="2880"/>
                  <w:vAlign w:val="center"/>
                </w:tcPr>
                <w:p>
                  <w:pPr>
                    <w:keepNext/>
                    <w:jc w:val="center"/>
                  </w:pPr>
                  <w:r>
                    <w:t>1.0</w:t>
                  </w:r>
                </w:p>
              </w:tc>
              <w:tc>
                <w:tcPr>
                  <w:tcW w:type="dxa" w:w="2880"/>
                  <w:vAlign w:val="center"/>
                </w:tcPr>
                <w:p>
                  <w:pPr>
                    <w:keepNext/>
                    <w:jc w:val="center"/>
                  </w:pPr>
                  <w:r>
                    <w:t>10.5</w:t>
                  </w:r>
                </w:p>
              </w:tc>
              <w:tc>
                <w:tcPr>
                  <w:tcW w:type="dxa" w:w="2880"/>
                  <w:vAlign w:val="center"/>
                </w:tcPr>
                <w:p>
                  <w:pPr>
                    <w:keepNext/>
                    <w:jc w:val="center"/>
                  </w:pPr>
                  <w:r>
                    <w:t>20.4</w:t>
                  </w:r>
                </w:p>
              </w:tc>
              <w:trPr>
                <w:cantSplit/>
              </w:trPr>
            </w:tr>
          </w:tbl>
        </w:t>
      </w:r>
    </w:p>
    <w:p>
      <w:r>
        <w:t xml:space="preserve"/>
      </w:r>
    </w:p>
    <w:p>
      <w:r>
        <w:t xml:space="preserve"/>
      </w:r>
    </w:p>
    <w:p>
      <w:r>
        <w:t xml:space="preserve"/>
      </w:r>
    </w:p>
    <w:p>
      <w:r>
        <w:t xml:space="preserve"/>
      </w:r>
    </w:p>
    <w:p>
      <w:r>
        <w:t xml:space="preserve">{'label': '図1.1.1', 'caption': '非反転増幅回路の入出力特性', 'description': '入力電圧と出力電圧が比例関係にあることを示すグラフ'}</w:t>
      </w:r>
    </w:p>
    <w:p>
      <w:r>
        <w:t xml:space="preserve"/>
      </w:r>
    </w:p>
    <w:p>
      <w:r>
        <w:t xml:space="preserve">表1.1.1より、入力電圧 Vi と出力電圧 Vo が比例関係にあることが分かる。具体的には、入力電圧が0.1 Vのとき、出力電圧は1.05 Vであり、入力電圧が0.2 Vのとき、出力電圧は2.10 Vである。さらに、入力電圧が0.5 Vおよび1.0 Vの場合には、それぞれ5.25 Vおよび10.5 Vの出力電圧が得られる。これらのデータから、利得 Av が一定であり、20.4 dBであることが確認できる。このため、非反転増幅回路における入力電圧と出力電圧の関係は、一定の利得を持つ比例関係であることが示される。これは図1.1.1にも示されているように、グラフにおいて入力電圧と出力電圧が直線的な関係を持つことからも支持される。</w:t>
      </w:r>
    </w:p>
    <w:p>
      <w:r>
        <w:t xml:space="preserve"/>
      </w:r>
    </w:p>
    <w:p>
      <w:r>
        <w:t xml:space="preserve"/>
      </w:r>
    </w:p>
    <w:p>
      <w:r>
        <w:t xml:space="preserve"/>
      </w:r>
    </w:p>
    <w:p>
      <w:r>
        <w:t xml:space="preserve">図1.1.1に示されているように、非反転増幅回路の入力電圧と出力電圧の関係をプロットすると、原点を通る直線となり、明確な比例関係が確認できます。表1.1.1に示されているデータからも、入力電圧Vi [V]が0.1、0.2、0.5、1.0と増加するに従い、出力電圧Vo [V]がそれに対応して1.05、2.10、5.25、10.5と増加していることがわかります。この直線性は、利得Avが一定の20.4 dBであることとも整合しており、入力電圧の変化に対して出力電圧が比例的に変化する非反転増幅回路の特性をよく示しています。したがって、この回路では入力と出力の電圧が比例関係にあることが明らかです。</w:t>
      </w:r>
    </w:p>
    <w:p>
      <w:r>
        <w:t xml:space="preserve"/>
      </w:r>
    </w:p>
    <w:p>
      <w:r>
        <w:t xml:space="preserve"/>
      </w:r>
    </w:p>
    <w:p>
      <w:r>
        <w:t xml:space="preserve"/>
      </w:r>
    </w:p>
    <w:p>
      <w:r>
        <w:t xml:space="preserve"/>
      </w:r>
    </w:p>
    <w:p>
      <w: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