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実験結果"/>
    <w:p>
      <w:pPr>
        <w:pStyle w:val="Heading1"/>
      </w:pPr>
      <w:r>
        <w:rPr>
          <w:rFonts w:hint="eastAsia"/>
        </w:rPr>
        <w:t xml:space="preserve">5.実験結果</w:t>
      </w:r>
    </w:p>
    <w:bookmarkStart w:id="16" w:name="直流特性の測定"/>
    <w:p>
      <w:pPr>
        <w:pStyle w:val="Heading2"/>
      </w:pPr>
      <w:r>
        <w:t xml:space="preserve">5.2 </w:t>
      </w:r>
      <w:r>
        <w:rPr>
          <w:rFonts w:hint="eastAsia"/>
        </w:rPr>
        <w:t xml:space="preserve">直流特性の測定</w:t>
      </w:r>
    </w:p>
    <w:bookmarkStart w:id="15" w:name="反転増幅回路"/>
    <w:p>
      <w:pPr>
        <w:pStyle w:val="Heading3"/>
      </w:pPr>
      <w:r>
        <w:t xml:space="preserve">5.2.1 </w:t>
      </w:r>
      <w:r>
        <w:rPr>
          <w:rFonts w:hint="eastAsia"/>
        </w:rPr>
        <w:t xml:space="preserve">反転増幅回路</w:t>
      </w:r>
    </w:p>
    <w:p>
      <w:pPr>
        <w:pStyle w:val="FirstParagraph"/>
      </w:pPr>
      <w:r>
        <w:rPr>
          <w:rFonts w:hint="eastAsia"/>
        </w:rPr>
        <w:t xml:space="preserve">表5.2.1.1</w:t>
      </w:r>
      <w:r>
        <w:t xml:space="preserve"> </w:t>
      </w:r>
      <w:r>
        <w:rPr>
          <w:rFonts w:hint="eastAsia"/>
        </w:rPr>
        <w:t xml:space="preserve">無負荷時・各負荷状態の入出力特性比較表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入力電圧[V]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出力電圧[V]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反転入力端子電圧計算値[V]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理論値[V]</w:t>
            </w:r>
          </w:p>
        </w:tc>
      </w:tr>
      <w:tr>
        <w:tc>
          <w:tcPr/>
          <w:p>
            <w:pPr>
              <w:pStyle w:val="Compact"/>
            </w:pPr>
            <w:r>
              <w:t xml:space="preserve">-5</w:t>
            </w:r>
          </w:p>
        </w:tc>
        <w:tc>
          <w:tcPr/>
          <w:p>
            <w:pPr>
              <w:pStyle w:val="Compact"/>
            </w:pPr>
            <w:r>
              <w:t xml:space="preserve">9.966</w:t>
            </w:r>
          </w:p>
        </w:tc>
        <w:tc>
          <w:tcPr/>
          <w:p>
            <w:pPr>
              <w:pStyle w:val="Compact"/>
            </w:pPr>
            <w:r>
              <w:t xml:space="preserve">-0.0113333333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-4</w:t>
            </w:r>
          </w:p>
        </w:tc>
        <w:tc>
          <w:tcPr/>
          <w:p>
            <w:pPr>
              <w:pStyle w:val="Compact"/>
            </w:pPr>
            <w:r>
              <w:t xml:space="preserve">7.975</w:t>
            </w:r>
          </w:p>
        </w:tc>
        <w:tc>
          <w:tcPr/>
          <w:p>
            <w:pPr>
              <w:pStyle w:val="Compact"/>
            </w:pPr>
            <w:r>
              <w:t xml:space="preserve">-0.0083333333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-3</w:t>
            </w:r>
          </w:p>
        </w:tc>
        <w:tc>
          <w:tcPr/>
          <w:p>
            <w:pPr>
              <w:pStyle w:val="Compact"/>
            </w:pPr>
            <w:r>
              <w:t xml:space="preserve">5.983</w:t>
            </w:r>
          </w:p>
        </w:tc>
        <w:tc>
          <w:tcPr/>
          <w:p>
            <w:pPr>
              <w:pStyle w:val="Compact"/>
            </w:pPr>
            <w:r>
              <w:t xml:space="preserve">-0.0056666667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-2</w:t>
            </w:r>
          </w:p>
        </w:tc>
        <w:tc>
          <w:tcPr/>
          <w:p>
            <w:pPr>
              <w:pStyle w:val="Compact"/>
            </w:pPr>
            <w:r>
              <w:t xml:space="preserve">3.991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-1</w:t>
            </w:r>
          </w:p>
        </w:tc>
        <w:tc>
          <w:tcPr/>
          <w:p>
            <w:pPr>
              <w:pStyle w:val="Compact"/>
            </w:pPr>
            <w:r>
              <w:t xml:space="preserve">1.998</w:t>
            </w:r>
          </w:p>
        </w:tc>
        <w:tc>
          <w:tcPr/>
          <w:p>
            <w:pPr>
              <w:pStyle w:val="Compact"/>
            </w:pPr>
            <w:r>
              <w:t xml:space="preserve">-0.0006666667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-1.987</w:t>
            </w:r>
          </w:p>
        </w:tc>
        <w:tc>
          <w:tcPr/>
          <w:p>
            <w:pPr>
              <w:pStyle w:val="Compact"/>
            </w:pPr>
            <w:r>
              <w:t xml:space="preserve">0.0043333333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-3.979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-5.971</w:t>
            </w:r>
          </w:p>
        </w:tc>
        <w:tc>
          <w:tcPr/>
          <w:p>
            <w:pPr>
              <w:pStyle w:val="Compact"/>
            </w:pPr>
            <w:r>
              <w:t xml:space="preserve">0.0096666667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-7.964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-9.956</w:t>
            </w:r>
          </w:p>
        </w:tc>
        <w:tc>
          <w:tcPr/>
          <w:p>
            <w:pPr>
              <w:pStyle w:val="Compact"/>
            </w:pPr>
            <w:r>
              <w:t xml:space="preserve">0.0146666667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drawing>
          <wp:inline>
            <wp:extent cx="5486400" cy="313182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var/folders/v_/141g51rx2c95vn9ldh84qmnm0000gn/T/reportlab_pandoc_me8pk93w/fig_4.2.1_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31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図5.2.1.1</w:t>
      </w:r>
      <w:r>
        <w:t xml:space="preserve"> </w:t>
      </w:r>
      <w:r>
        <w:rPr>
          <w:rFonts w:hint="eastAsia"/>
        </w:rPr>
        <w:t xml:space="preserve">無負荷</w:t>
      </w:r>
      <w:r>
        <w:t xml:space="preserve"> Vo–Vin </w:t>
      </w:r>
      <w:r>
        <w:rPr>
          <w:rFonts w:hint="eastAsia"/>
        </w:rPr>
        <w:t xml:space="preserve">特性グラフ</w:t>
      </w:r>
    </w:p>
    <w:p>
      <w:pPr>
        <w:pStyle w:val="BodyText"/>
      </w:pPr>
      <w:r>
        <w:drawing>
          <wp:inline>
            <wp:extent cx="5486400" cy="313182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var/folders/v_/141g51rx2c95vn9ldh84qmnm0000gn/T/reportlab_pandoc_me8pk93w/fig_4.2.1_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31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図5.2.1.2</w:t>
      </w:r>
      <w:r>
        <w:t xml:space="preserve"> </w:t>
      </w:r>
      <w:r>
        <w:rPr>
          <w:rFonts w:hint="eastAsia"/>
        </w:rPr>
        <w:t xml:space="preserve">複数負荷状態を重ねた</w:t>
      </w:r>
      <w:r>
        <w:t xml:space="preserve"> Vo–Vin グラフ</w:t>
      </w:r>
    </w:p>
    <w:bookmarkEnd w:id="15"/>
    <w:bookmarkEnd w:id="16"/>
    <w:bookmarkEnd w:id="17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outlineLvl w:val="3"/>
    </w:pPr>
    <w:rPr>
      <w:rFonts w:ascii="MS Mincho" w:hAnsi="MS Mincho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MS Mincho" w:asciiTheme="majorHAnsi" w:cstheme="majorBidi" w:eastAsiaTheme="majorEastAsia" w:hAnsi="MS Mincho" w:hAnsiTheme="majorHAnsi"/>
      <w:b/>
      <w:bCs/>
      <w:color w:val="000000"/>
      <w:sz w:val="3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MS Mincho" w:asciiTheme="majorHAnsi" w:cstheme="majorBidi" w:eastAsiaTheme="majorEastAsia" w:hAnsi="MS Mincho" w:hAnsiTheme="majorHAnsi"/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MS Mincho" w:asciiTheme="majorHAnsi" w:cstheme="majorBidi" w:eastAsiaTheme="majorEastAsia" w:hAnsi="MS Mincho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rFonts w:ascii="MS Mincho" w:hAnsi="MS Mincho"/>
      <w:b w:val="0"/>
      <w:bCs/>
      <w:color w:val="000000"/>
      <w:sz w:val="21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2" Type="http://schemas.openxmlformats.org/officeDocument/2006/relationships/image" Target="media/rId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2026-02-04T14:22:04Z</dcterms:created>
  <dcterms:modified xsi:type="dcterms:W3CDTF">2026-02-04T14:22:04Z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