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実験結果"/>
    <w:p>
      <w:pPr>
        <w:pStyle w:val="Heading1"/>
      </w:pPr>
      <w:r>
        <w:rPr>
          <w:rFonts w:hint="eastAsia"/>
        </w:rPr>
        <w:t xml:space="preserve">5.実験結果</w:t>
      </w:r>
    </w:p>
    <w:bookmarkStart w:id="13" w:name="直流特性の測定"/>
    <w:p>
      <w:pPr>
        <w:pStyle w:val="Heading2"/>
      </w:pPr>
      <w:r>
        <w:t xml:space="preserve">6.2 </w:t>
      </w:r>
      <w:r>
        <w:rPr>
          <w:rFonts w:hint="eastAsia"/>
        </w:rPr>
        <w:t xml:space="preserve">直流特性の測定</w:t>
      </w:r>
    </w:p>
    <w:bookmarkStart w:id="12" w:name="非反転増幅回路"/>
    <w:p>
      <w:pPr>
        <w:pStyle w:val="Heading3"/>
      </w:pPr>
      <w:r>
        <w:t xml:space="preserve">5.2.2 </w:t>
      </w:r>
      <w:r>
        <w:rPr>
          <w:rFonts w:hint="eastAsia"/>
        </w:rPr>
        <w:t xml:space="preserve">非反転増幅回路</w:t>
      </w:r>
    </w:p>
    <w:p>
      <w:pPr>
        <w:pStyle w:val="FirstParagraph"/>
      </w:pPr>
      <w:r>
        <w:rPr>
          <w:rFonts w:hint="eastAsia"/>
        </w:rPr>
        <w:t xml:space="preserve">私は製作した回路を用いて図6の非反転増幅回路を構成し、入力電圧を-5～+5</w:t>
      </w:r>
      <w:r>
        <w:t xml:space="preserve"> </w:t>
      </w:r>
      <w:r>
        <w:rPr>
          <w:rFonts w:hint="eastAsia"/>
        </w:rPr>
        <w:t xml:space="preserve">Vの範囲とする条件で出力電圧と入力電圧の関係を4状態で測定し、4.2.1と同様に測定点数が過剰にならないように工夫してグラフを作成した。測定対象は無負荷状態、出力にRL1を接続した3</w:t>
      </w:r>
      <w:r>
        <w:t xml:space="preserve"> </w:t>
      </w:r>
      <w:r>
        <w:rPr>
          <w:rFonts w:hint="eastAsia"/>
        </w:rPr>
        <w:t xml:space="preserve">kW負荷状態、RL2を接続した1</w:t>
      </w:r>
      <w:r>
        <w:t xml:space="preserve"> </w:t>
      </w:r>
      <w:r>
        <w:rPr>
          <w:rFonts w:hint="eastAsia"/>
        </w:rPr>
        <w:t xml:space="preserve">kW負荷状態、そしてRL1とRL2を並列接続した750</w:t>
      </w:r>
      <w:r>
        <w:t xml:space="preserve"> </w:t>
      </w:r>
      <w:r>
        <w:rPr>
          <w:rFonts w:hint="eastAsia"/>
        </w:rPr>
        <w:t xml:space="preserve">W負荷状態の4状態とした。次に無負荷状態でのOPアンプの反転入力端子電圧を測定結果から算出し、反転入力端子からOPアンプへ流入する電流を零と仮定して理論値と比較した。さらに各状態における測定結果をy=ax+bの一次関数で近似し、理論値と比較したが、明らかに直線近似できない測定点は除外して近似を行った。最後に測定した非反転増幅回路の出力電圧が理論値と異なる理由について、負荷の有無や負荷の大きさに着目して考察した。</w:t>
      </w:r>
    </w:p>
    <w:p>
      <w:pPr>
        <w:pStyle w:val="BodyText"/>
      </w:pPr>
      <w:r>
        <w:rPr>
          <w:rFonts w:hint="eastAsia"/>
        </w:rPr>
        <w:t xml:space="preserve">本実験では、図6に示す非反転増幅回路を用い、入力電圧</w:t>
      </w:r>
      <w:r>
        <w:t xml:space="preserve"> Vin を </w:t>
      </w:r>
      <w:r>
        <w:rPr>
          <w:rFonts w:hint="eastAsia"/>
        </w:rPr>
        <w:t xml:space="preserve">-5〜＋5</w:t>
      </w:r>
      <w:r>
        <w:t xml:space="preserve"> V </w:t>
      </w:r>
      <w:r>
        <w:rPr>
          <w:rFonts w:hint="eastAsia"/>
        </w:rPr>
        <w:t xml:space="preserve">の範囲で変化させつつ、4状態（無負荷、RL1を接続した3</w:t>
      </w:r>
      <w:r>
        <w:t xml:space="preserve"> </w:t>
      </w:r>
      <w:r>
        <w:rPr>
          <w:rFonts w:hint="eastAsia"/>
        </w:rPr>
        <w:t xml:space="preserve">kW負荷、RL2を接続した1</w:t>
      </w:r>
      <w:r>
        <w:t xml:space="preserve"> </w:t>
      </w:r>
      <w:r>
        <w:rPr>
          <w:rFonts w:hint="eastAsia"/>
        </w:rPr>
        <w:t xml:space="preserve">kW負荷、RL1およびRL2を並列接続した750</w:t>
      </w:r>
      <w:r>
        <w:t xml:space="preserve"> </w:t>
      </w:r>
      <w:r>
        <w:rPr>
          <w:rFonts w:hint="eastAsia"/>
        </w:rPr>
        <w:t xml:space="preserve">W負荷）で</w:t>
      </w:r>
      <w:r>
        <w:t xml:space="preserve"> Vo </w:t>
      </w:r>
      <w:r>
        <w:rPr>
          <w:rFonts w:hint="eastAsia"/>
        </w:rPr>
        <w:t xml:space="preserve">の振るいを測定した。測定点数は過度に増やさないよう工夫し、4状態を同一グラフに重ねて</w:t>
      </w:r>
      <w:r>
        <w:t xml:space="preserve"> Vin-Vout </w:t>
      </w:r>
      <w:r>
        <w:rPr>
          <w:rFonts w:hint="eastAsia"/>
        </w:rPr>
        <w:t xml:space="preserve">の特性を可視化し、直線領域と飽和領域を区別できるようにした。さらに無負荷状態での反転入力端子電圧</w:t>
      </w:r>
      <w:r>
        <w:t xml:space="preserve"> V− </w:t>
      </w:r>
      <w:r>
        <w:rPr>
          <w:rFonts w:hint="eastAsia"/>
        </w:rPr>
        <w:t xml:space="preserve">を理論値と比較するため、反転入力端子からOPアンプへ流入する電流を零と仮定して理論値を算出し、各状態ごとに</w:t>
      </w:r>
      <w:r>
        <w:t xml:space="preserve"> V− </w:t>
      </w:r>
      <w:r>
        <w:rPr>
          <w:rFonts w:hint="eastAsia"/>
        </w:rPr>
        <w:t xml:space="preserve">の理論値と測定値の差を評価した。各状態について</w:t>
      </w:r>
      <w:r>
        <w:t xml:space="preserve"> y = a x + b </w:t>
      </w:r>
      <w:r>
        <w:rPr>
          <w:rFonts w:hint="eastAsia"/>
        </w:rPr>
        <w:t xml:space="preserve">の1次近似を適用し、係数</w:t>
      </w:r>
      <w:r>
        <w:t xml:space="preserve"> a, b, R^2 </w:t>
      </w:r>
      <w:r>
        <w:rPr>
          <w:rFonts w:hint="eastAsia"/>
        </w:rPr>
        <w:t xml:space="preserve">および適用範囲／除外条件を整理した表を作成したうえで理論値と実測値を比較し、飽和点付近や負荷の有無・大きさが線形近似の適用範囲や差異の大きさに影響したことを述べた。なお、グラフのキャプションには回路名と測定条件を記し、軸は横軸を</w:t>
      </w:r>
      <w:r>
        <w:t xml:space="preserve"> Vin </w:t>
      </w:r>
      <w:r>
        <w:rPr>
          <w:rFonts w:hint="eastAsia"/>
        </w:rPr>
        <w:t xml:space="preserve">[V]、縦軸を</w:t>
      </w:r>
      <w:r>
        <w:t xml:space="preserve"> Vo </w:t>
      </w:r>
      <w:r>
        <w:rPr>
          <w:rFonts w:hint="eastAsia"/>
        </w:rPr>
        <w:t xml:space="preserve">[V]、凡例に各状態名を付与した。}</w:t>
      </w:r>
      <w:r>
        <w:t xml:space="preserve"> }{</w:t>
      </w:r>
    </w:p>
    <w:p>
      <w:pPr>
        <w:pStyle w:val="BodyText"/>
      </w:pPr>
      <w:r>
        <w:rPr>
          <w:rFonts w:hint="eastAsia"/>
        </w:rPr>
        <w:t xml:space="preserve">表：5.2.2.1</w:t>
      </w:r>
      <w:r>
        <w:t xml:space="preserve"> </w:t>
      </w:r>
      <w:r>
        <w:rPr>
          <w:rFonts w:hint="eastAsia"/>
        </w:rPr>
        <w:t xml:space="preserve">各状態の測定点テーブル</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入力電圧[V]</w:t>
            </w:r>
          </w:p>
        </w:tc>
        <w:tc>
          <w:tcPr/>
          <w:p>
            <w:pPr>
              <w:pStyle w:val="Compact"/>
            </w:pPr>
            <w:r>
              <w:rPr>
                <w:rFonts w:hint="eastAsia"/>
              </w:rPr>
              <w:t xml:space="preserve">出力電圧[V]</w:t>
            </w:r>
          </w:p>
        </w:tc>
        <w:tc>
          <w:tcPr/>
          <w:p>
            <w:pPr>
              <w:pStyle w:val="Compact"/>
            </w:pPr>
            <w:r>
              <w:rPr>
                <w:rFonts w:hint="eastAsia"/>
              </w:rPr>
              <w:t xml:space="preserve">反転入力端子電圧計算値[V]</w:t>
            </w:r>
          </w:p>
        </w:tc>
        <w:tc>
          <w:tcPr/>
          <w:p>
            <w:pPr>
              <w:pStyle w:val="Compact"/>
            </w:pPr>
            <w:r>
              <w:rPr>
                <w:rFonts w:hint="eastAsia"/>
              </w:rPr>
              <w:t xml:space="preserve">理論値[V]</w:t>
            </w:r>
          </w:p>
        </w:tc>
      </w:tr>
      <w:tr>
        <w:tc>
          <w:tcPr/>
          <w:p>
            <w:pPr>
              <w:pStyle w:val="Compact"/>
            </w:pPr>
            <w:r>
              <w:t xml:space="preserve">-5</w:t>
            </w:r>
          </w:p>
        </w:tc>
        <w:tc>
          <w:tcPr/>
          <w:p>
            <w:pPr>
              <w:pStyle w:val="Compact"/>
            </w:pPr>
            <w:r>
              <w:t xml:space="preserve">9.966</w:t>
            </w:r>
          </w:p>
        </w:tc>
        <w:tc>
          <w:tcPr/>
          <w:p>
            <w:pPr>
              <w:pStyle w:val="Compact"/>
            </w:pPr>
            <w:r>
              <w:t xml:space="preserve">-0.0113333333</w:t>
            </w:r>
          </w:p>
        </w:tc>
        <w:tc>
          <w:tcPr/>
          <w:p>
            <w:pPr>
              <w:pStyle w:val="Compact"/>
            </w:pPr>
            <w:r>
              <w:t xml:space="preserve">0</w:t>
            </w:r>
          </w:p>
        </w:tc>
      </w:tr>
      <w:tr>
        <w:tc>
          <w:tcPr/>
          <w:p>
            <w:pPr>
              <w:pStyle w:val="Compact"/>
            </w:pPr>
            <w:r>
              <w:t xml:space="preserve">-4</w:t>
            </w:r>
          </w:p>
        </w:tc>
        <w:tc>
          <w:tcPr/>
          <w:p>
            <w:pPr>
              <w:pStyle w:val="Compact"/>
            </w:pPr>
            <w:r>
              <w:t xml:space="preserve">7.975</w:t>
            </w:r>
          </w:p>
        </w:tc>
        <w:tc>
          <w:tcPr/>
          <w:p>
            <w:pPr>
              <w:pStyle w:val="Compact"/>
            </w:pPr>
            <w:r>
              <w:t xml:space="preserve">-0.0083333333</w:t>
            </w:r>
          </w:p>
        </w:tc>
        <w:tc>
          <w:tcPr/>
          <w:p>
            <w:pPr>
              <w:pStyle w:val="Compact"/>
            </w:pPr>
            <w:r>
              <w:t xml:space="preserve">0</w:t>
            </w:r>
          </w:p>
        </w:tc>
      </w:tr>
      <w:tr>
        <w:tc>
          <w:tcPr/>
          <w:p>
            <w:pPr>
              <w:pStyle w:val="Compact"/>
            </w:pPr>
            <w:r>
              <w:t xml:space="preserve">-3</w:t>
            </w:r>
          </w:p>
        </w:tc>
        <w:tc>
          <w:tcPr/>
          <w:p>
            <w:pPr>
              <w:pStyle w:val="Compact"/>
            </w:pPr>
            <w:r>
              <w:t xml:space="preserve">5.983</w:t>
            </w:r>
          </w:p>
        </w:tc>
        <w:tc>
          <w:tcPr/>
          <w:p>
            <w:pPr>
              <w:pStyle w:val="Compact"/>
            </w:pPr>
            <w:r>
              <w:t xml:space="preserve">-0.0056666667</w:t>
            </w:r>
          </w:p>
        </w:tc>
        <w:tc>
          <w:tcPr/>
          <w:p>
            <w:pPr>
              <w:pStyle w:val="Compact"/>
            </w:pPr>
            <w:r>
              <w:t xml:space="preserve">0</w:t>
            </w:r>
          </w:p>
        </w:tc>
      </w:tr>
      <w:tr>
        <w:tc>
          <w:tcPr/>
          <w:p>
            <w:pPr>
              <w:pStyle w:val="Compact"/>
            </w:pPr>
            <w:r>
              <w:t xml:space="preserve">-2</w:t>
            </w:r>
          </w:p>
        </w:tc>
        <w:tc>
          <w:tcPr/>
          <w:p>
            <w:pPr>
              <w:pStyle w:val="Compact"/>
            </w:pPr>
            <w:r>
              <w:t xml:space="preserve">3.991</w:t>
            </w:r>
          </w:p>
        </w:tc>
        <w:tc>
          <w:tcPr/>
          <w:p>
            <w:pPr>
              <w:pStyle w:val="Compact"/>
            </w:pPr>
            <w:r>
              <w:t xml:space="preserve">-0.003</w:t>
            </w:r>
          </w:p>
        </w:tc>
        <w:tc>
          <w:tcPr/>
          <w:p>
            <w:pPr>
              <w:pStyle w:val="Compact"/>
            </w:pPr>
            <w:r>
              <w:t xml:space="preserve">0</w:t>
            </w:r>
          </w:p>
        </w:tc>
      </w:tr>
      <w:tr>
        <w:tc>
          <w:tcPr/>
          <w:p>
            <w:pPr>
              <w:pStyle w:val="Compact"/>
            </w:pPr>
            <w:r>
              <w:t xml:space="preserve">-1</w:t>
            </w:r>
          </w:p>
        </w:tc>
        <w:tc>
          <w:tcPr/>
          <w:p>
            <w:pPr>
              <w:pStyle w:val="Compact"/>
            </w:pPr>
            <w:r>
              <w:t xml:space="preserve">1.998</w:t>
            </w:r>
          </w:p>
        </w:tc>
        <w:tc>
          <w:tcPr/>
          <w:p>
            <w:pPr>
              <w:pStyle w:val="Compact"/>
            </w:pPr>
            <w:r>
              <w:t xml:space="preserve">-0.0006666667</w:t>
            </w:r>
          </w:p>
        </w:tc>
        <w:tc>
          <w:tcPr/>
          <w:p>
            <w:pPr>
              <w:pStyle w:val="Compact"/>
            </w:pPr>
            <w:r>
              <w:t xml:space="preserve">0</w:t>
            </w:r>
          </w:p>
        </w:tc>
      </w:tr>
      <w:tr>
        <w:tc>
          <w:tcPr/>
          <w:p>
            <w:pPr>
              <w:pStyle w:val="Compact"/>
            </w:pPr>
            <w:r>
              <w:t xml:space="preserve">0</w:t>
            </w:r>
          </w:p>
        </w:tc>
        <w:tc>
          <w:tcPr/>
          <w:p>
            <w:pPr>
              <w:pStyle w:val="Compact"/>
            </w:pPr>
            <w:r>
              <w:t xml:space="preserve">0.006</w:t>
            </w:r>
          </w:p>
        </w:tc>
        <w:tc>
          <w:tcPr/>
          <w:p>
            <w:pPr>
              <w:pStyle w:val="Compact"/>
            </w:pPr>
            <w:r>
              <w:t xml:space="preserve">0.002</w:t>
            </w:r>
          </w:p>
        </w:tc>
        <w:tc>
          <w:tcPr/>
          <w:p>
            <w:pPr>
              <w:pStyle w:val="Compact"/>
            </w:pPr>
            <w:r>
              <w:t xml:space="preserve">0</w:t>
            </w:r>
          </w:p>
        </w:tc>
      </w:tr>
      <w:tr>
        <w:tc>
          <w:tcPr/>
          <w:p>
            <w:pPr>
              <w:pStyle w:val="Compact"/>
            </w:pPr>
            <w:r>
              <w:t xml:space="preserve">1</w:t>
            </w:r>
          </w:p>
        </w:tc>
        <w:tc>
          <w:tcPr/>
          <w:p>
            <w:pPr>
              <w:pStyle w:val="Compact"/>
            </w:pPr>
            <w:r>
              <w:t xml:space="preserve">-1.987</w:t>
            </w:r>
          </w:p>
        </w:tc>
        <w:tc>
          <w:tcPr/>
          <w:p>
            <w:pPr>
              <w:pStyle w:val="Compact"/>
            </w:pPr>
            <w:r>
              <w:t xml:space="preserve">0.0043333333</w:t>
            </w:r>
          </w:p>
        </w:tc>
        <w:tc>
          <w:tcPr/>
          <w:p>
            <w:pPr>
              <w:pStyle w:val="Compact"/>
            </w:pPr>
            <w:r>
              <w:t xml:space="preserve">0</w:t>
            </w:r>
          </w:p>
        </w:tc>
      </w:tr>
      <w:tr>
        <w:tc>
          <w:tcPr/>
          <w:p>
            <w:pPr>
              <w:pStyle w:val="Compact"/>
            </w:pPr>
            <w:r>
              <w:t xml:space="preserve">2</w:t>
            </w:r>
          </w:p>
        </w:tc>
        <w:tc>
          <w:tcPr/>
          <w:p>
            <w:pPr>
              <w:pStyle w:val="Compact"/>
            </w:pPr>
            <w:r>
              <w:t xml:space="preserve">-3.979</w:t>
            </w:r>
          </w:p>
        </w:tc>
        <w:tc>
          <w:tcPr/>
          <w:p>
            <w:pPr>
              <w:pStyle w:val="Compact"/>
            </w:pPr>
            <w:r>
              <w:t xml:space="preserve">0.007</w:t>
            </w:r>
          </w:p>
        </w:tc>
        <w:tc>
          <w:tcPr/>
          <w:p>
            <w:pPr>
              <w:pStyle w:val="Compact"/>
            </w:pPr>
            <w:r>
              <w:t xml:space="preserve">0</w:t>
            </w:r>
          </w:p>
        </w:tc>
      </w:tr>
      <w:tr>
        <w:tc>
          <w:tcPr/>
          <w:p>
            <w:pPr>
              <w:pStyle w:val="Compact"/>
            </w:pPr>
            <w:r>
              <w:t xml:space="preserve">3</w:t>
            </w:r>
          </w:p>
        </w:tc>
        <w:tc>
          <w:tcPr/>
          <w:p>
            <w:pPr>
              <w:pStyle w:val="Compact"/>
            </w:pPr>
            <w:r>
              <w:t xml:space="preserve">-5.971</w:t>
            </w:r>
          </w:p>
        </w:tc>
        <w:tc>
          <w:tcPr/>
          <w:p>
            <w:pPr>
              <w:pStyle w:val="Compact"/>
            </w:pPr>
            <w:r>
              <w:t xml:space="preserve">0.0096666667</w:t>
            </w:r>
          </w:p>
        </w:tc>
        <w:tc>
          <w:tcPr/>
          <w:p>
            <w:pPr>
              <w:pStyle w:val="Compact"/>
            </w:pPr>
            <w:r>
              <w:t xml:space="preserve">0</w:t>
            </w:r>
          </w:p>
        </w:tc>
      </w:tr>
      <w:tr>
        <w:tc>
          <w:tcPr/>
          <w:p>
            <w:pPr>
              <w:pStyle w:val="Compact"/>
            </w:pPr>
            <w:r>
              <w:t xml:space="preserve">4</w:t>
            </w:r>
          </w:p>
        </w:tc>
        <w:tc>
          <w:tcPr/>
          <w:p>
            <w:pPr>
              <w:pStyle w:val="Compact"/>
            </w:pPr>
            <w:r>
              <w:t xml:space="preserve">-7.964</w:t>
            </w:r>
          </w:p>
        </w:tc>
        <w:tc>
          <w:tcPr/>
          <w:p>
            <w:pPr>
              <w:pStyle w:val="Compact"/>
            </w:pPr>
            <w:r>
              <w:t xml:space="preserve">0.012</w:t>
            </w:r>
          </w:p>
        </w:tc>
        <w:tc>
          <w:tcPr/>
          <w:p>
            <w:pPr>
              <w:pStyle w:val="Compact"/>
            </w:pPr>
            <w:r>
              <w:t xml:space="preserve">0</w:t>
            </w:r>
          </w:p>
        </w:tc>
      </w:tr>
      <w:tr>
        <w:tc>
          <w:tcPr/>
          <w:p>
            <w:pPr>
              <w:pStyle w:val="Compact"/>
            </w:pPr>
            <w:r>
              <w:t xml:space="preserve">5</w:t>
            </w:r>
          </w:p>
        </w:tc>
        <w:tc>
          <w:tcPr/>
          <w:p>
            <w:pPr>
              <w:pStyle w:val="Compact"/>
            </w:pPr>
            <w:r>
              <w:t xml:space="preserve">-9.956</w:t>
            </w:r>
          </w:p>
        </w:tc>
        <w:tc>
          <w:tcPr/>
          <w:p>
            <w:pPr>
              <w:pStyle w:val="Compact"/>
            </w:pPr>
            <w:r>
              <w:t xml:space="preserve">0.0146666667</w:t>
            </w:r>
          </w:p>
        </w:tc>
        <w:tc>
          <w:tcPr/>
          <w:p>
            <w:pPr>
              <w:pStyle w:val="Compact"/>
            </w:pPr>
            <w:r>
              <w:t xml:space="preserve">0</w:t>
            </w:r>
          </w:p>
        </w:tc>
      </w:tr>
    </w:tbl>
    <w:p>
      <w:pPr>
        <w:pStyle w:val="BodyText"/>
      </w:pPr>
      <w:r>
        <w:rPr>
          <w:rFonts w:hint="eastAsia"/>
        </w:rPr>
        <w:t xml:space="preserve">表：5.2.2.2</w:t>
      </w:r>
      <w:r>
        <w:t xml:space="preserve"> V- </w:t>
      </w:r>
      <w:r>
        <w:rPr>
          <w:rFonts w:hint="eastAsia"/>
        </w:rPr>
        <w:t xml:space="preserve">理論値と測定値の比較表</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入力電圧[V]</w:t>
            </w:r>
          </w:p>
        </w:tc>
        <w:tc>
          <w:tcPr/>
          <w:p>
            <w:pPr>
              <w:pStyle w:val="Compact"/>
            </w:pPr>
            <w:r>
              <w:rPr>
                <w:rFonts w:hint="eastAsia"/>
              </w:rPr>
              <w:t xml:space="preserve">出力電圧[V]</w:t>
            </w:r>
          </w:p>
        </w:tc>
        <w:tc>
          <w:tcPr/>
          <w:p>
            <w:pPr>
              <w:pStyle w:val="Compact"/>
            </w:pPr>
            <w:r>
              <w:rPr>
                <w:rFonts w:hint="eastAsia"/>
              </w:rPr>
              <w:t xml:space="preserve">反転入力端子電圧計算値[V]</w:t>
            </w:r>
          </w:p>
        </w:tc>
        <w:tc>
          <w:tcPr/>
          <w:p>
            <w:pPr>
              <w:pStyle w:val="Compact"/>
            </w:pPr>
            <w:r>
              <w:rPr>
                <w:rFonts w:hint="eastAsia"/>
              </w:rPr>
              <w:t xml:space="preserve">相対誤差[%]</w:t>
            </w:r>
          </w:p>
        </w:tc>
      </w:tr>
      <w:tr>
        <w:tc>
          <w:tcPr/>
          <w:p>
            <w:pPr>
              <w:pStyle w:val="Compact"/>
            </w:pPr>
            <w:r>
              <w:t xml:space="preserve">-5</w:t>
            </w:r>
          </w:p>
        </w:tc>
        <w:tc>
          <w:tcPr/>
          <w:p>
            <w:pPr>
              <w:pStyle w:val="Compact"/>
            </w:pPr>
            <w:r>
              <w:t xml:space="preserve">-14.17</w:t>
            </w:r>
          </w:p>
        </w:tc>
        <w:tc>
          <w:tcPr/>
          <w:p>
            <w:pPr>
              <w:pStyle w:val="Compact"/>
            </w:pPr>
            <w:r>
              <w:t xml:space="preserve">-4.7233333333</w:t>
            </w:r>
          </w:p>
        </w:tc>
        <w:tc>
          <w:tcPr/>
          <w:p>
            <w:pPr>
              <w:pStyle w:val="Compact"/>
            </w:pPr>
            <w:r>
              <w:t xml:space="preserve">5.5333333333</w:t>
            </w:r>
          </w:p>
        </w:tc>
      </w:tr>
      <w:tr>
        <w:tc>
          <w:tcPr/>
          <w:p>
            <w:pPr>
              <w:pStyle w:val="Compact"/>
            </w:pPr>
            <w:r>
              <w:t xml:space="preserve">-4.8</w:t>
            </w:r>
          </w:p>
        </w:tc>
        <w:tc>
          <w:tcPr/>
          <w:p>
            <w:pPr>
              <w:pStyle w:val="Compact"/>
            </w:pPr>
            <w:r>
              <w:t xml:space="preserve">-14.069</w:t>
            </w:r>
          </w:p>
        </w:tc>
        <w:tc>
          <w:tcPr/>
          <w:p>
            <w:pPr>
              <w:pStyle w:val="Compact"/>
            </w:pPr>
            <w:r>
              <w:t xml:space="preserve">-4.6896666667</w:t>
            </w:r>
          </w:p>
        </w:tc>
        <w:tc>
          <w:tcPr/>
          <w:p>
            <w:pPr>
              <w:pStyle w:val="Compact"/>
            </w:pPr>
            <w:r>
              <w:t xml:space="preserve">2.2986111111</w:t>
            </w:r>
          </w:p>
        </w:tc>
      </w:tr>
      <w:tr>
        <w:tc>
          <w:tcPr/>
          <w:p>
            <w:pPr>
              <w:pStyle w:val="Compact"/>
            </w:pPr>
            <w:r>
              <w:t xml:space="preserve">-4.6</w:t>
            </w:r>
          </w:p>
        </w:tc>
        <w:tc>
          <w:tcPr/>
          <w:p>
            <w:pPr>
              <w:pStyle w:val="Compact"/>
            </w:pPr>
            <w:r>
              <w:t xml:space="preserve">-13.761</w:t>
            </w:r>
          </w:p>
        </w:tc>
        <w:tc>
          <w:tcPr/>
          <w:p>
            <w:pPr>
              <w:pStyle w:val="Compact"/>
            </w:pPr>
            <w:r>
              <w:t xml:space="preserve">-4.587</w:t>
            </w:r>
          </w:p>
        </w:tc>
        <w:tc>
          <w:tcPr/>
          <w:p>
            <w:pPr>
              <w:pStyle w:val="Compact"/>
            </w:pPr>
            <w:r>
              <w:t xml:space="preserve">0.2826086957</w:t>
            </w:r>
          </w:p>
        </w:tc>
      </w:tr>
      <w:tr>
        <w:tc>
          <w:tcPr/>
          <w:p>
            <w:pPr>
              <w:pStyle w:val="Compact"/>
            </w:pPr>
            <w:r>
              <w:t xml:space="preserve">-4.4</w:t>
            </w:r>
          </w:p>
        </w:tc>
        <w:tc>
          <w:tcPr/>
          <w:p>
            <w:pPr>
              <w:pStyle w:val="Compact"/>
            </w:pPr>
            <w:r>
              <w:t xml:space="preserve">-13.162</w:t>
            </w:r>
          </w:p>
        </w:tc>
        <w:tc>
          <w:tcPr/>
          <w:p>
            <w:pPr>
              <w:pStyle w:val="Compact"/>
            </w:pPr>
            <w:r>
              <w:t xml:space="preserve">-4.3873333333</w:t>
            </w:r>
          </w:p>
        </w:tc>
        <w:tc>
          <w:tcPr/>
          <w:p>
            <w:pPr>
              <w:pStyle w:val="Compact"/>
            </w:pPr>
            <w:r>
              <w:t xml:space="preserve">0.2878787879</w:t>
            </w:r>
          </w:p>
        </w:tc>
      </w:tr>
      <w:tr>
        <w:tc>
          <w:tcPr/>
          <w:p>
            <w:pPr>
              <w:pStyle w:val="Compact"/>
            </w:pPr>
            <w:r>
              <w:t xml:space="preserve">-4.2</w:t>
            </w:r>
          </w:p>
        </w:tc>
        <w:tc>
          <w:tcPr/>
          <w:p>
            <w:pPr>
              <w:pStyle w:val="Compact"/>
            </w:pPr>
            <w:r>
              <w:t xml:space="preserve">-12.564</w:t>
            </w:r>
          </w:p>
        </w:tc>
        <w:tc>
          <w:tcPr/>
          <w:p>
            <w:pPr>
              <w:pStyle w:val="Compact"/>
            </w:pPr>
            <w:r>
              <w:t xml:space="preserve">-4.188</w:t>
            </w:r>
          </w:p>
        </w:tc>
        <w:tc>
          <w:tcPr/>
          <w:p>
            <w:pPr>
              <w:pStyle w:val="Compact"/>
            </w:pPr>
            <w:r>
              <w:t xml:space="preserve">0.2857142857</w:t>
            </w:r>
          </w:p>
        </w:tc>
      </w:tr>
      <w:tr>
        <w:tc>
          <w:tcPr/>
          <w:p>
            <w:pPr>
              <w:pStyle w:val="Compact"/>
            </w:pPr>
            <w:r>
              <w:t xml:space="preserve">-4</w:t>
            </w:r>
          </w:p>
        </w:tc>
        <w:tc>
          <w:tcPr/>
          <w:p>
            <w:pPr>
              <w:pStyle w:val="Compact"/>
            </w:pPr>
            <w:r>
              <w:t xml:space="preserve">-11.969</w:t>
            </w:r>
          </w:p>
        </w:tc>
        <w:tc>
          <w:tcPr/>
          <w:p>
            <w:pPr>
              <w:pStyle w:val="Compact"/>
            </w:pPr>
            <w:r>
              <w:t xml:space="preserve">-3.9896666667</w:t>
            </w:r>
          </w:p>
        </w:tc>
        <w:tc>
          <w:tcPr/>
          <w:p>
            <w:pPr>
              <w:pStyle w:val="Compact"/>
            </w:pPr>
            <w:r>
              <w:t xml:space="preserve">0.2583333333</w:t>
            </w:r>
          </w:p>
        </w:tc>
      </w:tr>
      <w:tr>
        <w:tc>
          <w:tcPr/>
          <w:p>
            <w:pPr>
              <w:pStyle w:val="Compact"/>
            </w:pPr>
            <w:r>
              <w:t xml:space="preserve">-3</w:t>
            </w:r>
          </w:p>
        </w:tc>
        <w:tc>
          <w:tcPr/>
          <w:p>
            <w:pPr>
              <w:pStyle w:val="Compact"/>
            </w:pPr>
            <w:r>
              <w:t xml:space="preserve">-8.976</w:t>
            </w:r>
          </w:p>
        </w:tc>
        <w:tc>
          <w:tcPr/>
          <w:p>
            <w:pPr>
              <w:pStyle w:val="Compact"/>
            </w:pPr>
            <w:r>
              <w:t xml:space="preserve">-2.992</w:t>
            </w:r>
          </w:p>
        </w:tc>
        <w:tc>
          <w:tcPr/>
          <w:p>
            <w:pPr>
              <w:pStyle w:val="Compact"/>
            </w:pPr>
            <w:r>
              <w:t xml:space="preserve">0.2666666667</w:t>
            </w:r>
          </w:p>
        </w:tc>
      </w:tr>
      <w:tr>
        <w:tc>
          <w:tcPr/>
          <w:p>
            <w:pPr>
              <w:pStyle w:val="Compact"/>
            </w:pPr>
            <w:r>
              <w:t xml:space="preserve">-2</w:t>
            </w:r>
          </w:p>
        </w:tc>
        <w:tc>
          <w:tcPr/>
          <w:p>
            <w:pPr>
              <w:pStyle w:val="Compact"/>
            </w:pPr>
            <w:r>
              <w:t xml:space="preserve">-5.982</w:t>
            </w:r>
          </w:p>
        </w:tc>
        <w:tc>
          <w:tcPr/>
          <w:p>
            <w:pPr>
              <w:pStyle w:val="Compact"/>
            </w:pPr>
            <w:r>
              <w:t xml:space="preserve">-1.994</w:t>
            </w:r>
          </w:p>
        </w:tc>
        <w:tc>
          <w:tcPr/>
          <w:p>
            <w:pPr>
              <w:pStyle w:val="Compact"/>
            </w:pPr>
            <w:r>
              <w:t xml:space="preserve">0.3</w:t>
            </w:r>
          </w:p>
        </w:tc>
      </w:tr>
      <w:tr>
        <w:tc>
          <w:tcPr/>
          <w:p>
            <w:pPr>
              <w:pStyle w:val="Compact"/>
            </w:pPr>
            <w:r>
              <w:t xml:space="preserve">-1</w:t>
            </w:r>
          </w:p>
        </w:tc>
        <w:tc>
          <w:tcPr/>
          <w:p>
            <w:pPr>
              <w:pStyle w:val="Compact"/>
            </w:pPr>
            <w:r>
              <w:t xml:space="preserve">-2.988</w:t>
            </w:r>
          </w:p>
        </w:tc>
        <w:tc>
          <w:tcPr/>
          <w:p>
            <w:pPr>
              <w:pStyle w:val="Compact"/>
            </w:pPr>
            <w:r>
              <w:t xml:space="preserve">-0.996</w:t>
            </w:r>
          </w:p>
        </w:tc>
        <w:tc>
          <w:tcPr/>
          <w:p>
            <w:pPr>
              <w:pStyle w:val="Compact"/>
            </w:pPr>
            <w:r>
              <w:t xml:space="preserve">0.4</w:t>
            </w:r>
          </w:p>
        </w:tc>
      </w:tr>
      <w:tr>
        <w:tc>
          <w:tcPr/>
          <w:p>
            <w:pPr>
              <w:pStyle w:val="Compact"/>
            </w:pPr>
            <w:r>
              <w:t xml:space="preserve">0</w:t>
            </w:r>
          </w:p>
        </w:tc>
        <w:tc>
          <w:tcPr/>
          <w:p>
            <w:pPr>
              <w:pStyle w:val="Compact"/>
            </w:pPr>
            <w:r>
              <w:t xml:space="preserve">0.006</w:t>
            </w:r>
          </w:p>
        </w:tc>
        <w:tc>
          <w:tcPr/>
          <w:p>
            <w:pPr>
              <w:pStyle w:val="Compact"/>
            </w:pPr>
            <w:r>
              <w:t xml:space="preserve">0.002</w:t>
            </w:r>
          </w:p>
        </w:tc>
        <w:tc>
          <w:tcPr/>
          <w:p>
            <w:pPr>
              <w:pStyle w:val="Compact"/>
            </w:pPr>
            <w:r>
              <w:t xml:space="preserve">なし</w:t>
            </w:r>
          </w:p>
        </w:tc>
      </w:tr>
      <w:tr>
        <w:tc>
          <w:tcPr/>
          <w:p>
            <w:pPr>
              <w:pStyle w:val="Compact"/>
            </w:pPr>
            <w:r>
              <w:t xml:space="preserve">1</w:t>
            </w:r>
          </w:p>
        </w:tc>
        <w:tc>
          <w:tcPr/>
          <w:p>
            <w:pPr>
              <w:pStyle w:val="Compact"/>
            </w:pPr>
            <w:r>
              <w:t xml:space="preserve">3</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5.994</w:t>
            </w:r>
          </w:p>
        </w:tc>
        <w:tc>
          <w:tcPr/>
          <w:p>
            <w:pPr>
              <w:pStyle w:val="Compact"/>
            </w:pPr>
            <w:r>
              <w:t xml:space="preserve">1.998</w:t>
            </w:r>
          </w:p>
        </w:tc>
        <w:tc>
          <w:tcPr/>
          <w:p>
            <w:pPr>
              <w:pStyle w:val="Compact"/>
            </w:pPr>
            <w:r>
              <w:t xml:space="preserve">0.1</w:t>
            </w:r>
          </w:p>
        </w:tc>
      </w:tr>
      <w:tr>
        <w:tc>
          <w:tcPr/>
          <w:p>
            <w:pPr>
              <w:pStyle w:val="Compact"/>
            </w:pPr>
            <w:r>
              <w:t xml:space="preserve">3</w:t>
            </w:r>
          </w:p>
        </w:tc>
        <w:tc>
          <w:tcPr/>
          <w:p>
            <w:pPr>
              <w:pStyle w:val="Compact"/>
            </w:pPr>
            <w:r>
              <w:t xml:space="preserve">8.988</w:t>
            </w:r>
          </w:p>
        </w:tc>
        <w:tc>
          <w:tcPr/>
          <w:p>
            <w:pPr>
              <w:pStyle w:val="Compact"/>
            </w:pPr>
            <w:r>
              <w:t xml:space="preserve">2.996</w:t>
            </w:r>
          </w:p>
        </w:tc>
        <w:tc>
          <w:tcPr/>
          <w:p>
            <w:pPr>
              <w:pStyle w:val="Compact"/>
            </w:pPr>
            <w:r>
              <w:t xml:space="preserve">0.1333333333</w:t>
            </w:r>
          </w:p>
        </w:tc>
      </w:tr>
      <w:tr>
        <w:tc>
          <w:tcPr/>
          <w:p>
            <w:pPr>
              <w:pStyle w:val="Compact"/>
            </w:pPr>
            <w:r>
              <w:t xml:space="preserve">4</w:t>
            </w:r>
          </w:p>
        </w:tc>
        <w:tc>
          <w:tcPr/>
          <w:p>
            <w:pPr>
              <w:pStyle w:val="Compact"/>
            </w:pPr>
            <w:r>
              <w:t xml:space="preserve">11.9891</w:t>
            </w:r>
          </w:p>
        </w:tc>
        <w:tc>
          <w:tcPr/>
          <w:p>
            <w:pPr>
              <w:pStyle w:val="Compact"/>
            </w:pPr>
            <w:r>
              <w:t xml:space="preserve">3.9963666667</w:t>
            </w:r>
          </w:p>
        </w:tc>
        <w:tc>
          <w:tcPr/>
          <w:p>
            <w:pPr>
              <w:pStyle w:val="Compact"/>
            </w:pPr>
            <w:r>
              <w:t xml:space="preserve">0.0908333333</w:t>
            </w:r>
          </w:p>
        </w:tc>
      </w:tr>
      <w:tr>
        <w:tc>
          <w:tcPr/>
          <w:p>
            <w:pPr>
              <w:pStyle w:val="Compact"/>
            </w:pPr>
            <w:r>
              <w:t xml:space="preserve">4.2</w:t>
            </w:r>
          </w:p>
        </w:tc>
        <w:tc>
          <w:tcPr/>
          <w:p>
            <w:pPr>
              <w:pStyle w:val="Compact"/>
            </w:pPr>
            <w:r>
              <w:t xml:space="preserve">12.576</w:t>
            </w:r>
          </w:p>
        </w:tc>
        <w:tc>
          <w:tcPr/>
          <w:p>
            <w:pPr>
              <w:pStyle w:val="Compact"/>
            </w:pPr>
            <w:r>
              <w:t xml:space="preserve">4.192</w:t>
            </w:r>
          </w:p>
        </w:tc>
        <w:tc>
          <w:tcPr/>
          <w:p>
            <w:pPr>
              <w:pStyle w:val="Compact"/>
            </w:pPr>
            <w:r>
              <w:t xml:space="preserve">0.1904761905</w:t>
            </w:r>
          </w:p>
        </w:tc>
      </w:tr>
      <w:tr>
        <w:tc>
          <w:tcPr/>
          <w:p>
            <w:pPr>
              <w:pStyle w:val="Compact"/>
            </w:pPr>
            <w:r>
              <w:t xml:space="preserve">4.4</w:t>
            </w:r>
          </w:p>
        </w:tc>
        <w:tc>
          <w:tcPr/>
          <w:p>
            <w:pPr>
              <w:pStyle w:val="Compact"/>
            </w:pPr>
            <w:r>
              <w:t xml:space="preserve">13.174</w:t>
            </w:r>
          </w:p>
        </w:tc>
        <w:tc>
          <w:tcPr/>
          <w:p>
            <w:pPr>
              <w:pStyle w:val="Compact"/>
            </w:pPr>
            <w:r>
              <w:t xml:space="preserve">4.3913333333</w:t>
            </w:r>
          </w:p>
        </w:tc>
        <w:tc>
          <w:tcPr/>
          <w:p>
            <w:pPr>
              <w:pStyle w:val="Compact"/>
            </w:pPr>
            <w:r>
              <w:t xml:space="preserve">0.196969697</w:t>
            </w:r>
          </w:p>
        </w:tc>
      </w:tr>
      <w:tr>
        <w:tc>
          <w:tcPr/>
          <w:p>
            <w:pPr>
              <w:pStyle w:val="Compact"/>
            </w:pPr>
            <w:r>
              <w:t xml:space="preserve">4.6</w:t>
            </w:r>
          </w:p>
        </w:tc>
        <w:tc>
          <w:tcPr/>
          <w:p>
            <w:pPr>
              <w:pStyle w:val="Compact"/>
            </w:pPr>
            <w:r>
              <w:t xml:space="preserve">13.414</w:t>
            </w:r>
          </w:p>
        </w:tc>
        <w:tc>
          <w:tcPr/>
          <w:p>
            <w:pPr>
              <w:pStyle w:val="Compact"/>
            </w:pPr>
            <w:r>
              <w:t xml:space="preserve">4.4713333333</w:t>
            </w:r>
          </w:p>
        </w:tc>
        <w:tc>
          <w:tcPr/>
          <w:p>
            <w:pPr>
              <w:pStyle w:val="Compact"/>
            </w:pPr>
            <w:r>
              <w:t xml:space="preserve">2.7971014493</w:t>
            </w:r>
          </w:p>
        </w:tc>
      </w:tr>
      <w:tr>
        <w:tc>
          <w:tcPr/>
          <w:p>
            <w:pPr>
              <w:pStyle w:val="Compact"/>
            </w:pPr>
            <w:r>
              <w:t xml:space="preserve">4.8</w:t>
            </w:r>
          </w:p>
        </w:tc>
        <w:tc>
          <w:tcPr/>
          <w:p>
            <w:pPr>
              <w:pStyle w:val="Compact"/>
            </w:pPr>
            <w:r>
              <w:t xml:space="preserve">13.415</w:t>
            </w:r>
          </w:p>
        </w:tc>
        <w:tc>
          <w:tcPr/>
          <w:p>
            <w:pPr>
              <w:pStyle w:val="Compact"/>
            </w:pPr>
            <w:r>
              <w:t xml:space="preserve">4.4716666667</w:t>
            </w:r>
          </w:p>
        </w:tc>
        <w:tc>
          <w:tcPr/>
          <w:p>
            <w:pPr>
              <w:pStyle w:val="Compact"/>
            </w:pPr>
            <w:r>
              <w:t xml:space="preserve">6.8402777778</w:t>
            </w:r>
          </w:p>
        </w:tc>
      </w:tr>
      <w:tr>
        <w:tc>
          <w:tcPr/>
          <w:p>
            <w:pPr>
              <w:pStyle w:val="Compact"/>
            </w:pPr>
            <w:r>
              <w:t xml:space="preserve">5</w:t>
            </w:r>
          </w:p>
        </w:tc>
        <w:tc>
          <w:tcPr/>
          <w:p>
            <w:pPr>
              <w:pStyle w:val="Compact"/>
            </w:pPr>
            <w:r>
              <w:t xml:space="preserve">13.416</w:t>
            </w:r>
          </w:p>
        </w:tc>
        <w:tc>
          <w:tcPr/>
          <w:p>
            <w:pPr>
              <w:pStyle w:val="Compact"/>
            </w:pPr>
            <w:r>
              <w:t xml:space="preserve">4.472</w:t>
            </w:r>
          </w:p>
        </w:tc>
        <w:tc>
          <w:tcPr/>
          <w:p>
            <w:pPr>
              <w:pStyle w:val="Compact"/>
            </w:pPr>
            <w:r>
              <w:t xml:space="preserve">10.56</w:t>
            </w:r>
          </w:p>
        </w:tc>
      </w:tr>
    </w:tbl>
    <w:p>
      <w:pPr>
        <w:pStyle w:val="BodyText"/>
      </w:pPr>
      <w:r>
        <w:rPr>
          <w:rFonts w:hint="eastAsia"/>
        </w:rPr>
        <w:t xml:space="preserve">表：5.2.2.3</w:t>
      </w:r>
      <w:r>
        <w:t xml:space="preserve"> </w:t>
      </w:r>
      <w:r>
        <w:rPr>
          <w:rFonts w:hint="eastAsia"/>
        </w:rPr>
        <w:t xml:space="preserve">1次近似の係数テーブル</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入力電圧[V]</w:t>
            </w:r>
          </w:p>
        </w:tc>
        <w:tc>
          <w:tcPr/>
          <w:p>
            <w:pPr>
              <w:pStyle w:val="Compact"/>
            </w:pPr>
            <w:r>
              <w:rPr>
                <w:rFonts w:hint="eastAsia"/>
              </w:rPr>
              <w:t xml:space="preserve">出力電圧[V]</w:t>
            </w:r>
          </w:p>
        </w:tc>
        <w:tc>
          <w:tcPr/>
          <w:p>
            <w:pPr>
              <w:pStyle w:val="Compact"/>
            </w:pPr>
            <w:r>
              <w:rPr>
                <w:rFonts w:hint="eastAsia"/>
              </w:rPr>
              <w:t xml:space="preserve">反転入力端子電圧計算値[V]</w:t>
            </w:r>
          </w:p>
        </w:tc>
        <w:tc>
          <w:tcPr/>
          <w:p>
            <w:pPr>
              <w:pStyle w:val="Compact"/>
            </w:pPr>
            <w:r>
              <w:rPr>
                <w:rFonts w:hint="eastAsia"/>
              </w:rPr>
              <w:t xml:space="preserve">理論値[V]</w:t>
            </w:r>
          </w:p>
        </w:tc>
      </w:tr>
      <w:tr>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t xml:space="preserve">0</w:t>
            </w:r>
          </w:p>
        </w:tc>
      </w:tr>
      <w:tr>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0</w:t>
            </w:r>
          </w:p>
        </w:tc>
      </w:tr>
      <w:tr>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0</w:t>
            </w:r>
          </w:p>
        </w:tc>
      </w:tr>
      <w:tr>
        <w:tc>
          <w:tcPr/>
          <w:p>
            <w:pPr>
              <w:pStyle w:val="Compact"/>
            </w:pPr>
            <w:r>
              <w:t xml:space="preserve">-6</w:t>
            </w:r>
          </w:p>
        </w:tc>
        <w:tc>
          <w:tcPr/>
          <w:p>
            <w:pPr>
              <w:pStyle w:val="Compact"/>
            </w:pPr>
            <w:r>
              <w:t xml:space="preserve">-5.999</w:t>
            </w:r>
          </w:p>
        </w:tc>
        <w:tc>
          <w:tcPr/>
          <w:p>
            <w:pPr>
              <w:pStyle w:val="Compact"/>
            </w:pPr>
            <w:r>
              <w:t xml:space="preserve">-5.9996666667</w:t>
            </w:r>
          </w:p>
        </w:tc>
        <w:tc>
          <w:tcPr/>
          <w:p>
            <w:pPr>
              <w:pStyle w:val="Compact"/>
            </w:pPr>
            <w:r>
              <w:t xml:space="preserve">0</w:t>
            </w:r>
          </w:p>
        </w:tc>
      </w:tr>
      <w:tr>
        <w:tc>
          <w:tcPr/>
          <w:p>
            <w:pPr>
              <w:pStyle w:val="Compact"/>
            </w:pPr>
            <w:r>
              <w:t xml:space="preserve">-5</w:t>
            </w:r>
          </w:p>
        </w:tc>
        <w:tc>
          <w:tcPr/>
          <w:p>
            <w:pPr>
              <w:pStyle w:val="Compact"/>
            </w:pPr>
            <w:r>
              <w:t xml:space="preserve">-4.999</w:t>
            </w:r>
          </w:p>
        </w:tc>
        <w:tc>
          <w:tcPr/>
          <w:p>
            <w:pPr>
              <w:pStyle w:val="Compact"/>
            </w:pPr>
            <w:r>
              <w:t xml:space="preserve">-4.9996666667</w:t>
            </w:r>
          </w:p>
        </w:tc>
        <w:tc>
          <w:tcPr/>
          <w:p>
            <w:pPr>
              <w:pStyle w:val="Compact"/>
            </w:pPr>
            <w:r>
              <w:t xml:space="preserve">0</w:t>
            </w:r>
          </w:p>
        </w:tc>
      </w:tr>
      <w:tr>
        <w:tc>
          <w:tcPr/>
          <w:p>
            <w:pPr>
              <w:pStyle w:val="Compact"/>
            </w:pPr>
            <w:r>
              <w:t xml:space="preserve">-4</w:t>
            </w:r>
          </w:p>
        </w:tc>
        <w:tc>
          <w:tcPr/>
          <w:p>
            <w:pPr>
              <w:pStyle w:val="Compact"/>
            </w:pPr>
            <w:r>
              <w:t xml:space="preserve">-3.999</w:t>
            </w:r>
          </w:p>
        </w:tc>
        <w:tc>
          <w:tcPr/>
          <w:p>
            <w:pPr>
              <w:pStyle w:val="Compact"/>
            </w:pPr>
            <w:r>
              <w:t xml:space="preserve">-3.9996666667</w:t>
            </w:r>
          </w:p>
        </w:tc>
        <w:tc>
          <w:tcPr/>
          <w:p>
            <w:pPr>
              <w:pStyle w:val="Compact"/>
            </w:pPr>
            <w:r>
              <w:t xml:space="preserve">0</w:t>
            </w:r>
          </w:p>
        </w:tc>
      </w:tr>
      <w:tr>
        <w:tc>
          <w:tcPr/>
          <w:p>
            <w:pPr>
              <w:pStyle w:val="Compact"/>
            </w:pPr>
            <w:r>
              <w:t xml:space="preserve">-3</w:t>
            </w:r>
          </w:p>
        </w:tc>
        <w:tc>
          <w:tcPr/>
          <w:p>
            <w:pPr>
              <w:pStyle w:val="Compact"/>
            </w:pPr>
            <w:r>
              <w:t xml:space="preserve">-2.999</w:t>
            </w:r>
          </w:p>
        </w:tc>
        <w:tc>
          <w:tcPr/>
          <w:p>
            <w:pPr>
              <w:pStyle w:val="Compact"/>
            </w:pPr>
            <w:r>
              <w:t xml:space="preserve">-2.9996666667</w:t>
            </w:r>
          </w:p>
        </w:tc>
        <w:tc>
          <w:tcPr/>
          <w:p>
            <w:pPr>
              <w:pStyle w:val="Compact"/>
            </w:pPr>
            <w:r>
              <w:t xml:space="preserve">0</w:t>
            </w:r>
          </w:p>
        </w:tc>
      </w:tr>
      <w:tr>
        <w:tc>
          <w:tcPr/>
          <w:p>
            <w:pPr>
              <w:pStyle w:val="Compact"/>
            </w:pPr>
            <w:r>
              <w:t xml:space="preserve">-2</w:t>
            </w:r>
          </w:p>
        </w:tc>
        <w:tc>
          <w:tcPr/>
          <w:p>
            <w:pPr>
              <w:pStyle w:val="Compact"/>
            </w:pPr>
            <w:r>
              <w:t xml:space="preserve">-1.998</w:t>
            </w:r>
          </w:p>
        </w:tc>
        <w:tc>
          <w:tcPr/>
          <w:p>
            <w:pPr>
              <w:pStyle w:val="Compact"/>
            </w:pPr>
            <w:r>
              <w:t xml:space="preserve">-1.9993333333</w:t>
            </w:r>
          </w:p>
        </w:tc>
        <w:tc>
          <w:tcPr/>
          <w:p>
            <w:pPr>
              <w:pStyle w:val="Compact"/>
            </w:pPr>
            <w:r>
              <w:t xml:space="preserve">0</w:t>
            </w:r>
          </w:p>
        </w:tc>
      </w:tr>
      <w:tr>
        <w:tc>
          <w:tcPr/>
          <w:p>
            <w:pPr>
              <w:pStyle w:val="Compact"/>
            </w:pPr>
            <w:r>
              <w:t xml:space="preserve">-1</w:t>
            </w:r>
          </w:p>
        </w:tc>
        <w:tc>
          <w:tcPr/>
          <w:p>
            <w:pPr>
              <w:pStyle w:val="Compact"/>
            </w:pPr>
            <w:r>
              <w:t xml:space="preserve">-0.998</w:t>
            </w:r>
          </w:p>
        </w:tc>
        <w:tc>
          <w:tcPr/>
          <w:p>
            <w:pPr>
              <w:pStyle w:val="Compact"/>
            </w:pPr>
            <w:r>
              <w:t xml:space="preserve">-0.9993333333</w:t>
            </w:r>
          </w:p>
        </w:tc>
        <w:tc>
          <w:tcPr/>
          <w:p>
            <w:pPr>
              <w:pStyle w:val="Compact"/>
            </w:pPr>
            <w:r>
              <w:t xml:space="preserve">0</w:t>
            </w:r>
          </w:p>
        </w:tc>
      </w:tr>
      <w:tr>
        <w:tc>
          <w:tcPr/>
          <w:p>
            <w:pPr>
              <w:pStyle w:val="Compact"/>
            </w:pPr>
            <w:r>
              <w:t xml:space="preserve">0</w:t>
            </w:r>
          </w:p>
        </w:tc>
        <w:tc>
          <w:tcPr/>
          <w:p>
            <w:pPr>
              <w:pStyle w:val="Compact"/>
            </w:pPr>
            <w:r>
              <w:t xml:space="preserve">0.002</w:t>
            </w:r>
          </w:p>
        </w:tc>
        <w:tc>
          <w:tcPr/>
          <w:p>
            <w:pPr>
              <w:pStyle w:val="Compact"/>
            </w:pPr>
            <w:r>
              <w:t xml:space="preserve">0.0006666667</w:t>
            </w:r>
          </w:p>
        </w:tc>
        <w:tc>
          <w:tcPr/>
          <w:p>
            <w:pPr>
              <w:pStyle w:val="Compact"/>
            </w:pPr>
            <w:r>
              <w:t xml:space="preserve">0</w:t>
            </w:r>
          </w:p>
        </w:tc>
      </w:tr>
      <w:tr>
        <w:tc>
          <w:tcPr/>
          <w:p>
            <w:pPr>
              <w:pStyle w:val="Compact"/>
            </w:pPr>
            <w:r>
              <w:t xml:space="preserve">1</w:t>
            </w:r>
          </w:p>
        </w:tc>
        <w:tc>
          <w:tcPr/>
          <w:p>
            <w:pPr>
              <w:pStyle w:val="Compact"/>
            </w:pPr>
            <w:r>
              <w:t xml:space="preserve">1.002</w:t>
            </w:r>
          </w:p>
        </w:tc>
        <w:tc>
          <w:tcPr/>
          <w:p>
            <w:pPr>
              <w:pStyle w:val="Compact"/>
            </w:pPr>
            <w:r>
              <w:t xml:space="preserve">1.0006666667</w:t>
            </w:r>
          </w:p>
        </w:tc>
        <w:tc>
          <w:tcPr/>
          <w:p>
            <w:pPr>
              <w:pStyle w:val="Compact"/>
            </w:pPr>
            <w:r>
              <w:t xml:space="preserve">0</w:t>
            </w:r>
          </w:p>
        </w:tc>
      </w:tr>
      <w:tr>
        <w:tc>
          <w:tcPr/>
          <w:p>
            <w:pPr>
              <w:pStyle w:val="Compact"/>
            </w:pPr>
            <w:r>
              <w:t xml:space="preserve">2</w:t>
            </w:r>
          </w:p>
        </w:tc>
        <w:tc>
          <w:tcPr/>
          <w:p>
            <w:pPr>
              <w:pStyle w:val="Compact"/>
            </w:pPr>
            <w:r>
              <w:t xml:space="preserve">2.003</w:t>
            </w:r>
          </w:p>
        </w:tc>
        <w:tc>
          <w:tcPr/>
          <w:p>
            <w:pPr>
              <w:pStyle w:val="Compact"/>
            </w:pPr>
            <w:r>
              <w:t xml:space="preserve">2.001</w:t>
            </w:r>
          </w:p>
        </w:tc>
        <w:tc>
          <w:tcPr/>
          <w:p>
            <w:pPr>
              <w:pStyle w:val="Compact"/>
            </w:pPr>
            <w:r>
              <w:t xml:space="preserve">0</w:t>
            </w:r>
          </w:p>
        </w:tc>
      </w:tr>
      <w:tr>
        <w:tc>
          <w:tcPr/>
          <w:p>
            <w:pPr>
              <w:pStyle w:val="Compact"/>
            </w:pPr>
            <w:r>
              <w:t xml:space="preserve">3</w:t>
            </w:r>
          </w:p>
        </w:tc>
        <w:tc>
          <w:tcPr/>
          <w:p>
            <w:pPr>
              <w:pStyle w:val="Compact"/>
            </w:pPr>
            <w:r>
              <w:t xml:space="preserve">3.003</w:t>
            </w:r>
          </w:p>
        </w:tc>
        <w:tc>
          <w:tcPr/>
          <w:p>
            <w:pPr>
              <w:pStyle w:val="Compact"/>
            </w:pPr>
            <w:r>
              <w:t xml:space="preserve">3.001</w:t>
            </w:r>
          </w:p>
        </w:tc>
        <w:tc>
          <w:tcPr/>
          <w:p>
            <w:pPr>
              <w:pStyle w:val="Compact"/>
            </w:pPr>
            <w:r>
              <w:t xml:space="preserve">0</w:t>
            </w:r>
          </w:p>
        </w:tc>
      </w:tr>
      <w:tr>
        <w:tc>
          <w:tcPr/>
          <w:p>
            <w:pPr>
              <w:pStyle w:val="Compact"/>
            </w:pPr>
            <w:r>
              <w:t xml:space="preserve">4</w:t>
            </w:r>
          </w:p>
        </w:tc>
        <w:tc>
          <w:tcPr/>
          <w:p>
            <w:pPr>
              <w:pStyle w:val="Compact"/>
            </w:pPr>
            <w:r>
              <w:t xml:space="preserve">4.003</w:t>
            </w:r>
          </w:p>
        </w:tc>
        <w:tc>
          <w:tcPr/>
          <w:p>
            <w:pPr>
              <w:pStyle w:val="Compact"/>
            </w:pPr>
            <w:r>
              <w:t xml:space="preserve">4.001</w:t>
            </w:r>
          </w:p>
        </w:tc>
        <w:tc>
          <w:tcPr/>
          <w:p>
            <w:pPr>
              <w:pStyle w:val="Compact"/>
            </w:pPr>
            <w:r>
              <w:t xml:space="preserve">0</w:t>
            </w:r>
          </w:p>
        </w:tc>
      </w:tr>
      <w:tr>
        <w:tc>
          <w:tcPr/>
          <w:p>
            <w:pPr>
              <w:pStyle w:val="Compact"/>
            </w:pPr>
            <w:r>
              <w:t xml:space="preserve">5</w:t>
            </w:r>
          </w:p>
        </w:tc>
        <w:tc>
          <w:tcPr/>
          <w:p>
            <w:pPr>
              <w:pStyle w:val="Compact"/>
            </w:pPr>
            <w:r>
              <w:t xml:space="preserve">5.003</w:t>
            </w:r>
          </w:p>
        </w:tc>
        <w:tc>
          <w:tcPr/>
          <w:p>
            <w:pPr>
              <w:pStyle w:val="Compact"/>
            </w:pPr>
            <w:r>
              <w:t xml:space="preserve">5.001</w:t>
            </w:r>
          </w:p>
        </w:tc>
        <w:tc>
          <w:tcPr/>
          <w:p>
            <w:pPr>
              <w:pStyle w:val="Compact"/>
            </w:pPr>
            <w:r>
              <w:t xml:space="preserve">0</w:t>
            </w:r>
          </w:p>
        </w:tc>
      </w:tr>
      <w:tr>
        <w:tc>
          <w:tcPr/>
          <w:p>
            <w:pPr>
              <w:pStyle w:val="Compact"/>
            </w:pPr>
            <w:r>
              <w:t xml:space="preserve">6</w:t>
            </w:r>
          </w:p>
        </w:tc>
        <w:tc>
          <w:tcPr/>
          <w:p>
            <w:pPr>
              <w:pStyle w:val="Compact"/>
            </w:pPr>
            <w:r>
              <w:t xml:space="preserve">6.004</w:t>
            </w:r>
          </w:p>
        </w:tc>
        <w:tc>
          <w:tcPr/>
          <w:p>
            <w:pPr>
              <w:pStyle w:val="Compact"/>
            </w:pPr>
            <w:r>
              <w:t xml:space="preserve">6.0013333333</w:t>
            </w:r>
          </w:p>
        </w:tc>
        <w:tc>
          <w:tcPr/>
          <w:p>
            <w:pPr>
              <w:pStyle w:val="Compact"/>
            </w:pPr>
            <w:r>
              <w:t xml:space="preserve">0</w:t>
            </w:r>
          </w:p>
        </w:tc>
      </w:tr>
      <w:tr>
        <w:tc>
          <w:tcPr/>
          <w:p>
            <w:pPr>
              <w:pStyle w:val="Compact"/>
            </w:pPr>
            <w:r>
              <w:t xml:space="preserve">7</w:t>
            </w:r>
          </w:p>
        </w:tc>
        <w:tc>
          <w:tcPr/>
          <w:p>
            <w:pPr>
              <w:pStyle w:val="Compact"/>
            </w:pPr>
            <w:r>
              <w:t xml:space="preserve">7.004</w:t>
            </w:r>
          </w:p>
        </w:tc>
        <w:tc>
          <w:tcPr/>
          <w:p>
            <w:pPr>
              <w:pStyle w:val="Compact"/>
            </w:pPr>
            <w:r>
              <w:t xml:space="preserve">7.0013333333</w:t>
            </w:r>
          </w:p>
        </w:tc>
        <w:tc>
          <w:tcPr/>
          <w:p>
            <w:pPr>
              <w:pStyle w:val="Compact"/>
            </w:pPr>
            <w:r>
              <w:t xml:space="preserve">0</w:t>
            </w:r>
          </w:p>
        </w:tc>
      </w:tr>
      <w:tr>
        <w:tc>
          <w:tcPr/>
          <w:p>
            <w:pPr>
              <w:pStyle w:val="Compact"/>
            </w:pPr>
            <w:r>
              <w:t xml:space="preserve">8</w:t>
            </w:r>
          </w:p>
        </w:tc>
        <w:tc>
          <w:tcPr/>
          <w:p>
            <w:pPr>
              <w:pStyle w:val="Compact"/>
            </w:pPr>
            <w:r>
              <w:t xml:space="preserve">8.004</w:t>
            </w:r>
          </w:p>
        </w:tc>
        <w:tc>
          <w:tcPr/>
          <w:p>
            <w:pPr>
              <w:pStyle w:val="Compact"/>
            </w:pPr>
            <w:r>
              <w:t xml:space="preserve">8.0013333333</w:t>
            </w:r>
          </w:p>
        </w:tc>
        <w:tc>
          <w:tcPr/>
          <w:p>
            <w:pPr>
              <w:pStyle w:val="Compact"/>
            </w:pPr>
            <w:r>
              <w:t xml:space="preserve">0</w:t>
            </w:r>
          </w:p>
        </w:tc>
      </w:tr>
      <w:tr>
        <w:tc>
          <w:tcPr/>
          <w:p>
            <w:pPr>
              <w:pStyle w:val="Compact"/>
            </w:pPr>
            <w:r>
              <w:t xml:space="preserve">9</w:t>
            </w:r>
          </w:p>
        </w:tc>
        <w:tc>
          <w:tcPr/>
          <w:p>
            <w:pPr>
              <w:pStyle w:val="Compact"/>
            </w:pPr>
            <w:r>
              <w:t xml:space="preserve">9.004</w:t>
            </w:r>
          </w:p>
        </w:tc>
        <w:tc>
          <w:tcPr/>
          <w:p>
            <w:pPr>
              <w:pStyle w:val="Compact"/>
            </w:pPr>
            <w:r>
              <w:t xml:space="preserve">9.0013333333</w:t>
            </w:r>
          </w:p>
        </w:tc>
        <w:tc>
          <w:tcPr/>
          <w:p>
            <w:pPr>
              <w:pStyle w:val="Compact"/>
            </w:pPr>
            <w:r>
              <w:t xml:space="preserve">0</w:t>
            </w:r>
          </w:p>
        </w:tc>
      </w:tr>
      <w:tr>
        <w:tc>
          <w:tcPr/>
          <w:p>
            <w:pPr>
              <w:pStyle w:val="Compact"/>
            </w:pPr>
            <w:r>
              <w:t xml:space="preserve">10</w:t>
            </w:r>
          </w:p>
        </w:tc>
        <w:tc>
          <w:tcPr/>
          <w:p>
            <w:pPr>
              <w:pStyle w:val="Compact"/>
            </w:pPr>
            <w:r>
              <w:t xml:space="preserve">10.004</w:t>
            </w:r>
          </w:p>
        </w:tc>
        <w:tc>
          <w:tcPr/>
          <w:p>
            <w:pPr>
              <w:pStyle w:val="Compact"/>
            </w:pPr>
            <w:r>
              <w:t xml:space="preserve">10.0013333333</w:t>
            </w:r>
          </w:p>
        </w:tc>
        <w:tc>
          <w:tcPr/>
          <w:p>
            <w:pPr>
              <w:pStyle w:val="Compact"/>
            </w:pPr>
            <w:r>
              <w:t xml:space="preserve">0</w:t>
            </w:r>
          </w:p>
        </w:tc>
      </w:tr>
    </w:tbl>
    <w:p>
      <w:pPr>
        <w:pStyle w:val="BodyText"/>
      </w:pPr>
      <w:r>
        <w:drawing>
          <wp:inline>
            <wp:extent cx="5486400" cy="3131820"/>
            <wp:effectExtent b="0" l="0" r="0" t="0"/>
            <wp:docPr descr="" title="" id="10" name="Picture"/>
            <a:graphic>
              <a:graphicData uri="http://schemas.openxmlformats.org/drawingml/2006/picture">
                <pic:pic>
                  <pic:nvPicPr>
                    <pic:cNvPr descr="/var/folders/v_/141g51rx2c95vn9ldh84qmnm0000gn/T/reportlab_pandoc_39btbjy8/fig_4.2.2_1.png" id="11" name="Picture"/>
                    <pic:cNvPicPr>
                      <a:picLocks noChangeArrowheads="1" noChangeAspect="1"/>
                    </pic:cNvPicPr>
                  </pic:nvPicPr>
                  <pic:blipFill>
                    <a:blip r:embed="rId9"/>
                    <a:stretch>
                      <a:fillRect/>
                    </a:stretch>
                  </pic:blipFill>
                  <pic:spPr bwMode="auto">
                    <a:xfrm>
                      <a:off x="0" y="0"/>
                      <a:ext cx="5486400" cy="3131820"/>
                    </a:xfrm>
                    <a:prstGeom prst="rect">
                      <a:avLst/>
                    </a:prstGeom>
                    <a:noFill/>
                    <a:ln w="9525">
                      <a:noFill/>
                      <a:headEnd/>
                      <a:tailEnd/>
                    </a:ln>
                  </pic:spPr>
                </pic:pic>
              </a:graphicData>
            </a:graphic>
          </wp:inline>
        </w:drawing>
      </w:r>
    </w:p>
    <w:p>
      <w:pPr>
        <w:pStyle w:val="BodyText"/>
      </w:pPr>
      <w:r>
        <w:rPr>
          <w:rFonts w:hint="eastAsia"/>
        </w:rPr>
        <w:t xml:space="preserve">図：5.2.2.1</w:t>
      </w:r>
      <w:r>
        <w:t xml:space="preserve"> </w:t>
      </w:r>
      <w:r>
        <w:rPr>
          <w:rFonts w:hint="eastAsia"/>
        </w:rPr>
        <w:t xml:space="preserve">図6出力-入力の直線性</w:t>
      </w:r>
    </w:p>
    <w:p>
      <w:pPr>
        <w:pStyle w:val="BodyText"/>
      </w:pPr>
      <w:r>
        <w:rPr>
          <w:rFonts w:hint="eastAsia"/>
        </w:rPr>
        <w:t xml:space="preserve">結論:</w:t>
      </w:r>
      <w:r>
        <w:t xml:space="preserve"> </w:t>
      </w:r>
      <w:r>
        <w:rPr>
          <w:rFonts w:hint="eastAsia"/>
        </w:rPr>
        <w:t xml:space="preserve">非反転増幅回路として理論</w:t>
      </w:r>
      <w:r>
        <w:t xml:space="preserve"> Eo = (1+Rf/Rb1) Ea1 </w:t>
      </w:r>
      <w:r>
        <w:rPr>
          <w:rFonts w:hint="eastAsia"/>
        </w:rPr>
        <w:t xml:space="preserve">の予測どおり、線形領域ではゲイン約3で実験結果が良く一致する。代表値:</w:t>
      </w:r>
      <w:r>
        <w:t xml:space="preserve"> </w:t>
      </w:r>
      <w:r>
        <w:rPr>
          <w:rFonts w:hint="eastAsia"/>
        </w:rPr>
        <w:t xml:space="preserve">入力1V→出力3.00V</w:t>
      </w:r>
      <w:r>
        <w:t xml:space="preserve"> </w:t>
      </w:r>
      <w:r>
        <w:rPr>
          <w:rFonts w:hint="eastAsia"/>
        </w:rPr>
        <w:t xml:space="preserve">(誤差0%),</w:t>
      </w:r>
      <w:r>
        <w:t xml:space="preserve"> 2V→5.994V </w:t>
      </w:r>
      <w:r>
        <w:rPr>
          <w:rFonts w:hint="eastAsia"/>
        </w:rPr>
        <w:t xml:space="preserve">(誤差0.1%),</w:t>
      </w:r>
      <w:r>
        <w:t xml:space="preserve"> 3V→8.988V (0.13%), 4V→11.9891V (0.0908%), 4.2V→12.576V </w:t>
      </w:r>
      <w:r>
        <w:rPr>
          <w:rFonts w:hint="eastAsia"/>
        </w:rPr>
        <w:t xml:space="preserve">(0.19%)。4.6V時は</w:t>
      </w:r>
      <w:r>
        <w:t xml:space="preserve"> 13.414V </w:t>
      </w:r>
      <w:r>
        <w:rPr>
          <w:rFonts w:hint="eastAsia"/>
        </w:rPr>
        <w:t xml:space="preserve">でゲイン約2.92、4.8V時は</w:t>
      </w:r>
      <w:r>
        <w:t xml:space="preserve"> 13.415V </w:t>
      </w:r>
      <w:r>
        <w:rPr>
          <w:rFonts w:hint="eastAsia"/>
        </w:rPr>
        <w:t xml:space="preserve">で約2.80、5V時は</w:t>
      </w:r>
      <w:r>
        <w:t xml:space="preserve"> 13.416V </w:t>
      </w:r>
      <w:r>
        <w:rPr>
          <w:rFonts w:hint="eastAsia"/>
        </w:rPr>
        <w:t xml:space="preserve">で約2.68となり、理論値3からの相対誤差はそれぞれ約2.8%、6.8%、10.6%へと急増。これは出力が</w:t>
      </w:r>
      <w:r>
        <w:t xml:space="preserve"> ±15V </w:t>
      </w:r>
      <w:r>
        <w:rPr>
          <w:rFonts w:hint="eastAsia"/>
        </w:rPr>
        <w:t xml:space="preserve">の動作電源域に近づく飽和と、有限オープンループ利得・出力スイング特性に起因する。反転入力端子電圧計算値はほぼ0に近く、負帰還による仮想短絡が回路内で成立している領域が広いことを示す。</w:t>
      </w:r>
      <w:r>
        <w:t xml:space="preserve"> tbl_4.2.2_3 の </w:t>
      </w:r>
      <w:r>
        <w:rPr>
          <w:rFonts w:hint="eastAsia"/>
        </w:rPr>
        <w:t xml:space="preserve">1次近似係数表も中〜低入力領域では線形性が良好であることを裏付ける。</w:t>
      </w:r>
    </w:p>
    <w:bookmarkEnd w:id="12"/>
    <w:bookmarkEnd w:id="13"/>
    <w:bookmarkEnd w:id="1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outlineLvl w:val="3"/>
    </w:pPr>
    <w:rPr>
      <w:rFonts w:ascii="MS Mincho" w:hAnsi="MS Mincho"/>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MS Mincho" w:asciiTheme="majorHAnsi" w:cstheme="majorBidi" w:eastAsiaTheme="majorEastAsia" w:hAnsi="MS Mincho"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MS Mincho" w:asciiTheme="majorHAnsi" w:cstheme="majorBidi" w:eastAsiaTheme="majorEastAsia" w:hAnsi="MS Mincho"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MS Mincho" w:asciiTheme="majorHAnsi" w:cstheme="majorBidi" w:eastAsiaTheme="majorEastAsia" w:hAnsi="MS Mincho"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MS Mincho" w:hAnsi="MS Mincho"/>
      <w:b w:val="0"/>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2026-02-05T03:30:48Z</dcterms:created>
  <dcterms:modified xsi:type="dcterms:W3CDTF">2026-02-05T03:30:48Z</dcterms:modified>
</cp:coreProperties>
</file>

<file path=docProps/custom.xml><?xml version="1.0" encoding="utf-8"?>
<Properties xmlns="http://schemas.openxmlformats.org/officeDocument/2006/custom-properties" xmlns:vt="http://schemas.openxmlformats.org/officeDocument/2006/docPropsVTypes"/>
</file>