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09:39</w:t>
      </w:r>
    </w:p>
    <w:p>
      <w:r>
        <w:t>Source data fetched: 2025-09-08 09:38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Ukraine vs Poland (war #13217) — region Chernihiv (score 0:0)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2:5)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Sweden: 2,897,764</w:t>
      </w:r>
    </w:p>
    <w:p>
      <w:r>
        <w:t>Bulgaria: 2,559,980</w:t>
      </w:r>
    </w:p>
    <w:p>
      <w:r>
        <w:t>North Macedonia: 1,741,207</w:t>
      </w:r>
    </w:p>
    <w:p>
      <w:r>
        <w:t>Portugal: 1,247,855</w:t>
      </w:r>
    </w:p>
    <w:p>
      <w:r>
        <w:t>Poland: 623,591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0.082000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-6.11%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0.156333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▼ -1.88%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0.013260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0.014484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0.044960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0.219069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0.229 AUD</w:t>
            </w:r>
          </w:p>
        </w:tc>
        <w:tc>
          <w:tcPr>
            <w:tcW w:type="dxa" w:w="1440"/>
          </w:tcPr>
          <w:p>
            <w:r>
              <w:t>0.045724</w:t>
            </w:r>
          </w:p>
        </w:tc>
        <w:tc>
          <w:tcPr>
            <w:tcW w:type="dxa" w:w="1440"/>
          </w:tcPr>
          <w:p>
            <w:r>
              <w:t>845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247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553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839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0.205000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0.290075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0.008750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1560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0.020090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996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0.459 PLN</w:t>
            </w:r>
          </w:p>
        </w:tc>
        <w:tc>
          <w:tcPr>
            <w:tcW w:type="dxa" w:w="1440"/>
          </w:tcPr>
          <w:p>
            <w:r>
              <w:t>0.114750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0.115600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1.000 RSD</w:t>
            </w:r>
          </w:p>
        </w:tc>
        <w:tc>
          <w:tcPr>
            <w:tcW w:type="dxa" w:w="1440"/>
          </w:tcPr>
          <w:p>
            <w:r>
              <w:t>0.156333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0.270978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0.309750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0.082000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Produkt: Titanium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441.21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423.84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416.50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416.39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413.35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411.73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245.17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235.52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231.44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231.38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229.92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229.69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228.79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220.52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212.21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211.97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211.83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208.16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208.11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205.78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196.04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188.32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185.06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185.01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182.94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147.03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141.33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141.24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138.80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138.76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137.21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122.49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117.67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115.63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114.87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114.31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