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270" w:firstLine="0"/>
        <w:jc w:val="left"/>
        <w:rPr>
          <w:rFonts w:ascii="Quattrocento Sans" w:cs="Quattrocento Sans" w:eastAsia="Quattrocento Sans" w:hAnsi="Quattrocento Sans"/>
          <w:color w:val="ffffff"/>
          <w:sz w:val="34"/>
          <w:szCs w:val="34"/>
          <w:shd w:fill="03787c" w:val="clear"/>
        </w:rPr>
      </w:pPr>
      <w:r w:rsidDel="00000000" w:rsidR="00000000" w:rsidRPr="00000000">
        <w:rPr>
          <w:rFonts w:ascii="Quattrocento Sans" w:cs="Quattrocento Sans" w:eastAsia="Quattrocento Sans" w:hAnsi="Quattrocento Sans"/>
          <w:color w:val="ffffff"/>
          <w:sz w:val="34"/>
          <w:szCs w:val="34"/>
          <w:shd w:fill="03787c" w:val="clear"/>
          <w:rtl w:val="0"/>
        </w:rPr>
        <w:t xml:space="preserve">Project Overview</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Quattrocento Sans" w:cs="Quattrocento Sans" w:eastAsia="Quattrocento Sans" w:hAnsi="Quattrocento Sans"/>
          <w:color w:val="ffffff"/>
          <w:sz w:val="34"/>
          <w:szCs w:val="34"/>
          <w:shd w:fill="03787c" w:val="clear"/>
        </w:rPr>
      </w:pPr>
      <w:r w:rsidDel="00000000" w:rsidR="00000000" w:rsidRPr="00000000">
        <w:rPr>
          <w:rFonts w:ascii="Quattrocento Sans" w:cs="Quattrocento Sans" w:eastAsia="Quattrocento Sans" w:hAnsi="Quattrocento Sans"/>
          <w:color w:val="ffffff"/>
          <w:sz w:val="34"/>
          <w:szCs w:val="34"/>
          <w:shd w:fill="03787c" w:val="clear"/>
          <w:rtl w:val="0"/>
        </w:rPr>
        <w:t xml:space="preserve">Urban Development Program of Florianópolis - Floripa for All</w:t>
      </w:r>
    </w:p>
    <w:p w:rsidR="00000000" w:rsidDel="00000000" w:rsidP="00000000" w:rsidRDefault="00000000" w:rsidRPr="00000000" w14:paraId="00000003">
      <w:pPr>
        <w:pStyle w:val="Heading3"/>
        <w:keepNext w:val="0"/>
        <w:keepLines w:val="0"/>
        <w:spacing w:before="280" w:lineRule="auto"/>
        <w:jc w:val="both"/>
        <w:rPr>
          <w:b w:val="1"/>
          <w:color w:val="03787c"/>
          <w:sz w:val="20"/>
          <w:szCs w:val="20"/>
        </w:rPr>
      </w:pPr>
      <w:bookmarkStart w:colFirst="0" w:colLast="0" w:name="_inkd6vrqlvsi" w:id="0"/>
      <w:bookmarkEnd w:id="0"/>
      <w:r w:rsidDel="00000000" w:rsidR="00000000" w:rsidRPr="00000000">
        <w:rPr>
          <w:b w:val="1"/>
          <w:color w:val="03787c"/>
          <w:sz w:val="20"/>
          <w:szCs w:val="20"/>
          <w:rtl w:val="0"/>
        </w:rPr>
        <w:t xml:space="preserve">Project Summary</w:t>
      </w:r>
    </w:p>
    <w:p w:rsidR="00000000" w:rsidDel="00000000" w:rsidP="00000000" w:rsidRDefault="00000000" w:rsidRPr="00000000" w14:paraId="00000004">
      <w:pPr>
        <w:spacing w:after="240" w:before="240" w:lineRule="auto"/>
        <w:jc w:val="both"/>
        <w:rPr>
          <w:sz w:val="20"/>
          <w:szCs w:val="20"/>
        </w:rPr>
      </w:pPr>
      <w:r w:rsidDel="00000000" w:rsidR="00000000" w:rsidRPr="00000000">
        <w:rPr>
          <w:sz w:val="20"/>
          <w:szCs w:val="20"/>
          <w:rtl w:val="0"/>
        </w:rPr>
        <w:t xml:space="preserve">The Urban Development Program of Florianópolis (Floripa for All) is a strategic initiative financed by the Inter-American Development Bank (IDB) in partnership with the Municipality of Florianópolis. The project seeks to address urban development challenges in Florianópolis, focusing on sustainability, resilience, and inclusivity. It is structured under a Multiple Works Modality and has a total budget of USD 150 million, with USD 120 million from the IDB and USD 30 million in local counterpart funding.</w:t>
      </w:r>
    </w:p>
    <w:p w:rsidR="00000000" w:rsidDel="00000000" w:rsidP="00000000" w:rsidRDefault="00000000" w:rsidRPr="00000000" w14:paraId="00000005">
      <w:pPr>
        <w:pStyle w:val="Heading4"/>
        <w:keepNext w:val="0"/>
        <w:keepLines w:val="0"/>
        <w:spacing w:after="40" w:before="240" w:lineRule="auto"/>
        <w:jc w:val="both"/>
        <w:rPr>
          <w:b w:val="1"/>
          <w:color w:val="03787c"/>
          <w:sz w:val="20"/>
          <w:szCs w:val="20"/>
        </w:rPr>
      </w:pPr>
      <w:bookmarkStart w:colFirst="0" w:colLast="0" w:name="_gkd8d4lal3ns" w:id="1"/>
      <w:bookmarkEnd w:id="1"/>
      <w:r w:rsidDel="00000000" w:rsidR="00000000" w:rsidRPr="00000000">
        <w:rPr>
          <w:b w:val="1"/>
          <w:color w:val="03787c"/>
          <w:sz w:val="20"/>
          <w:szCs w:val="20"/>
          <w:rtl w:val="0"/>
        </w:rPr>
        <w:t xml:space="preserve">Objectives</w:t>
      </w:r>
    </w:p>
    <w:p w:rsidR="00000000" w:rsidDel="00000000" w:rsidP="00000000" w:rsidRDefault="00000000" w:rsidRPr="00000000" w14:paraId="00000006">
      <w:pPr>
        <w:spacing w:after="240" w:before="240" w:lineRule="auto"/>
        <w:jc w:val="both"/>
        <w:rPr>
          <w:sz w:val="20"/>
          <w:szCs w:val="20"/>
        </w:rPr>
      </w:pPr>
      <w:r w:rsidDel="00000000" w:rsidR="00000000" w:rsidRPr="00000000">
        <w:rPr>
          <w:sz w:val="20"/>
          <w:szCs w:val="20"/>
          <w:rtl w:val="0"/>
        </w:rPr>
        <w:t xml:space="preserve">The project aims to promote a sustainable and inclusive urban-territorial development model for Florianópolis, responding to critical urban challenges such as housing shortages, inefficient mobility infrastructure, environmental risks, and limited institutional capacity for urban governance.</w:t>
      </w:r>
    </w:p>
    <w:p w:rsidR="00000000" w:rsidDel="00000000" w:rsidP="00000000" w:rsidRDefault="00000000" w:rsidRPr="00000000" w14:paraId="00000007">
      <w:pPr>
        <w:spacing w:after="240" w:before="240" w:lineRule="auto"/>
        <w:jc w:val="both"/>
        <w:rPr>
          <w:b w:val="1"/>
          <w:sz w:val="20"/>
          <w:szCs w:val="20"/>
        </w:rPr>
      </w:pPr>
      <w:r w:rsidDel="00000000" w:rsidR="00000000" w:rsidRPr="00000000">
        <w:rPr>
          <w:b w:val="1"/>
          <w:sz w:val="20"/>
          <w:szCs w:val="20"/>
          <w:rtl w:val="0"/>
        </w:rPr>
        <w:t xml:space="preserve">Specific objectives: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0"/>
          <w:szCs w:val="20"/>
        </w:rPr>
      </w:pPr>
      <w:r w:rsidDel="00000000" w:rsidR="00000000" w:rsidRPr="00000000">
        <w:rPr>
          <w:sz w:val="20"/>
          <w:szCs w:val="20"/>
          <w:rtl w:val="0"/>
        </w:rPr>
        <w:t xml:space="preserve">Expanding access to </w:t>
      </w:r>
      <w:r w:rsidDel="00000000" w:rsidR="00000000" w:rsidRPr="00000000">
        <w:rPr>
          <w:sz w:val="20"/>
          <w:szCs w:val="20"/>
          <w:rtl w:val="0"/>
        </w:rPr>
        <w:t xml:space="preserve">adequate and resilient housing</w:t>
      </w:r>
      <w:r w:rsidDel="00000000" w:rsidR="00000000" w:rsidRPr="00000000">
        <w:rPr>
          <w:sz w:val="20"/>
          <w:szCs w:val="20"/>
          <w:rtl w:val="0"/>
        </w:rPr>
        <w:t xml:space="preserve"> for vulnerable populations.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0"/>
          <w:szCs w:val="20"/>
        </w:rPr>
      </w:pPr>
      <w:r w:rsidDel="00000000" w:rsidR="00000000" w:rsidRPr="00000000">
        <w:rPr>
          <w:sz w:val="20"/>
          <w:szCs w:val="20"/>
          <w:rtl w:val="0"/>
        </w:rPr>
        <w:t xml:space="preserve">Enhancing the </w:t>
      </w:r>
      <w:r w:rsidDel="00000000" w:rsidR="00000000" w:rsidRPr="00000000">
        <w:rPr>
          <w:sz w:val="20"/>
          <w:szCs w:val="20"/>
          <w:rtl w:val="0"/>
        </w:rPr>
        <w:t xml:space="preserve">urban and environmental quality</w:t>
      </w:r>
      <w:r w:rsidDel="00000000" w:rsidR="00000000" w:rsidRPr="00000000">
        <w:rPr>
          <w:sz w:val="20"/>
          <w:szCs w:val="20"/>
          <w:rtl w:val="0"/>
        </w:rPr>
        <w:t xml:space="preserve"> of the </w:t>
      </w:r>
      <w:r w:rsidDel="00000000" w:rsidR="00000000" w:rsidRPr="00000000">
        <w:rPr>
          <w:sz w:val="20"/>
          <w:szCs w:val="20"/>
          <w:rtl w:val="0"/>
        </w:rPr>
        <w:t xml:space="preserve">Historic Center of Florianópolis.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0"/>
          <w:szCs w:val="20"/>
        </w:rPr>
      </w:pPr>
      <w:r w:rsidDel="00000000" w:rsidR="00000000" w:rsidRPr="00000000">
        <w:rPr>
          <w:sz w:val="20"/>
          <w:szCs w:val="20"/>
          <w:rtl w:val="0"/>
        </w:rPr>
        <w:t xml:space="preserve">Improving </w:t>
      </w:r>
      <w:r w:rsidDel="00000000" w:rsidR="00000000" w:rsidRPr="00000000">
        <w:rPr>
          <w:sz w:val="20"/>
          <w:szCs w:val="20"/>
          <w:rtl w:val="0"/>
        </w:rPr>
        <w:t xml:space="preserve">mobility infrastructure</w:t>
      </w:r>
      <w:r w:rsidDel="00000000" w:rsidR="00000000" w:rsidRPr="00000000">
        <w:rPr>
          <w:sz w:val="20"/>
          <w:szCs w:val="20"/>
          <w:rtl w:val="0"/>
        </w:rPr>
        <w:t xml:space="preserve">, particularly for </w:t>
      </w:r>
      <w:r w:rsidDel="00000000" w:rsidR="00000000" w:rsidRPr="00000000">
        <w:rPr>
          <w:sz w:val="20"/>
          <w:szCs w:val="20"/>
          <w:rtl w:val="0"/>
        </w:rPr>
        <w:t xml:space="preserve">public transport and non-motorized mobility</w:t>
      </w:r>
      <w:r w:rsidDel="00000000" w:rsidR="00000000" w:rsidRPr="00000000">
        <w:rPr>
          <w:sz w:val="20"/>
          <w:szCs w:val="20"/>
          <w:rtl w:val="0"/>
        </w:rPr>
        <w:t xml:space="preserv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sz w:val="20"/>
          <w:szCs w:val="20"/>
        </w:rPr>
      </w:pPr>
      <w:r w:rsidDel="00000000" w:rsidR="00000000" w:rsidRPr="00000000">
        <w:rPr>
          <w:sz w:val="20"/>
          <w:szCs w:val="20"/>
          <w:rtl w:val="0"/>
        </w:rPr>
        <w:t xml:space="preserve">Strengthening the </w:t>
      </w:r>
      <w:r w:rsidDel="00000000" w:rsidR="00000000" w:rsidRPr="00000000">
        <w:rPr>
          <w:sz w:val="20"/>
          <w:szCs w:val="20"/>
          <w:rtl w:val="0"/>
        </w:rPr>
        <w:t xml:space="preserve">institutional capacity</w:t>
      </w:r>
      <w:r w:rsidDel="00000000" w:rsidR="00000000" w:rsidRPr="00000000">
        <w:rPr>
          <w:sz w:val="20"/>
          <w:szCs w:val="20"/>
          <w:rtl w:val="0"/>
        </w:rPr>
        <w:t xml:space="preserve"> for urban planning, territorial management, and security.</w:t>
      </w:r>
    </w:p>
    <w:p w:rsidR="00000000" w:rsidDel="00000000" w:rsidP="00000000" w:rsidRDefault="00000000" w:rsidRPr="00000000" w14:paraId="0000000C">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b w:val="1"/>
          <w:color w:val="03787c"/>
          <w:sz w:val="20"/>
          <w:szCs w:val="20"/>
        </w:rPr>
      </w:pPr>
      <w:bookmarkStart w:colFirst="0" w:colLast="0" w:name="_kb8cz3706m" w:id="2"/>
      <w:bookmarkEnd w:id="2"/>
      <w:r w:rsidDel="00000000" w:rsidR="00000000" w:rsidRPr="00000000">
        <w:rPr>
          <w:b w:val="1"/>
          <w:color w:val="03787c"/>
          <w:sz w:val="20"/>
          <w:szCs w:val="20"/>
          <w:rtl w:val="0"/>
        </w:rPr>
        <w:t xml:space="preserve">Climate and Sustainability</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0"/>
          <w:szCs w:val="20"/>
        </w:rPr>
      </w:pPr>
      <w:r w:rsidDel="00000000" w:rsidR="00000000" w:rsidRPr="00000000">
        <w:rPr>
          <w:b w:val="1"/>
          <w:sz w:val="20"/>
          <w:szCs w:val="20"/>
          <w:rtl w:val="0"/>
        </w:rPr>
        <w:t xml:space="preserve">Paris Alignment:</w:t>
      </w:r>
      <w:r w:rsidDel="00000000" w:rsidR="00000000" w:rsidRPr="00000000">
        <w:rPr>
          <w:sz w:val="20"/>
          <w:szCs w:val="20"/>
          <w:rtl w:val="0"/>
        </w:rPr>
        <w:t xml:space="preserve"> This operation has been analyzed using the Joint Multilateral Development Bank (MDB) Framework for Paris Alignment Analysis and the IDB Group’s Paris Agreement Alignment Approach (PAIA) (GN-3142-1). Based on the PAIA assessment, the operation has been determined as: (i) Aligned with the adaptation goal of the Paris Agreement (PA); and  (ii) Aligned with the mitigation goal of the PA, following a specific analysis. The alignment was established by (i) integrating a long-term climate resilience strategy for Florianópolis, (ii) incorporating public transport prioritization in road infrastructure to reduce reliance on private fossil fuel-based vehicles. Additionally, it (iii) promotes sustainable mobility models, enhancing pedestrian and cycling infrastructure while supporting feasibility studies for future Bus Rapid Transit (BRT) implementation, reinforcing the city's transition to a low-carbon and resilient urban development model.</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Climate Finance:</w:t>
      </w:r>
      <w:r w:rsidDel="00000000" w:rsidR="00000000" w:rsidRPr="00000000">
        <w:rPr>
          <w:sz w:val="20"/>
          <w:szCs w:val="20"/>
          <w:rtl w:val="0"/>
        </w:rPr>
        <w:t xml:space="preserve"> </w:t>
      </w:r>
      <w:r w:rsidDel="00000000" w:rsidR="00000000" w:rsidRPr="00000000">
        <w:rPr>
          <w:sz w:val="20"/>
          <w:szCs w:val="20"/>
          <w:rtl w:val="0"/>
        </w:rPr>
        <w:t xml:space="preserve">53.44% of project financing qualifies as climate finance, supporting energy and water efficiency, climate risk reduction, sustainable mobility, and resilient urban planning.</w:t>
      </w:r>
    </w:p>
    <w:p w:rsidR="00000000" w:rsidDel="00000000" w:rsidP="00000000" w:rsidRDefault="00000000" w:rsidRPr="00000000" w14:paraId="0000000F">
      <w:pPr>
        <w:numPr>
          <w:ilvl w:val="0"/>
          <w:numId w:val="1"/>
        </w:numPr>
        <w:spacing w:after="240" w:before="0" w:beforeAutospacing="0" w:lineRule="auto"/>
        <w:ind w:left="720" w:hanging="360"/>
        <w:jc w:val="both"/>
        <w:rPr>
          <w:sz w:val="20"/>
          <w:szCs w:val="20"/>
        </w:rPr>
      </w:pPr>
      <w:r w:rsidDel="00000000" w:rsidR="00000000" w:rsidRPr="00000000">
        <w:rPr>
          <w:b w:val="1"/>
          <w:sz w:val="20"/>
          <w:szCs w:val="20"/>
          <w:rtl w:val="0"/>
        </w:rPr>
        <w:t xml:space="preserve">Green Finance:</w:t>
      </w:r>
      <w:r w:rsidDel="00000000" w:rsidR="00000000" w:rsidRPr="00000000">
        <w:rPr>
          <w:sz w:val="20"/>
          <w:szCs w:val="20"/>
          <w:rtl w:val="0"/>
        </w:rPr>
        <w:t xml:space="preserve"> </w:t>
      </w:r>
      <w:r w:rsidDel="00000000" w:rsidR="00000000" w:rsidRPr="00000000">
        <w:rPr>
          <w:sz w:val="20"/>
          <w:szCs w:val="20"/>
          <w:rtl w:val="0"/>
        </w:rPr>
        <w:t xml:space="preserve">54.23% of the total financing is classified as green finance, promoting biodiversity restoration, water resource protection, and disaster risk management.</w:t>
      </w:r>
    </w:p>
    <w:p w:rsidR="00000000" w:rsidDel="00000000" w:rsidP="00000000" w:rsidRDefault="00000000" w:rsidRPr="00000000" w14:paraId="00000010">
      <w:pPr>
        <w:pStyle w:val="Heading4"/>
        <w:keepNext w:val="0"/>
        <w:keepLines w:val="0"/>
        <w:spacing w:after="40" w:before="240" w:lineRule="auto"/>
        <w:jc w:val="both"/>
        <w:rPr>
          <w:b w:val="1"/>
          <w:color w:val="03787c"/>
          <w:sz w:val="20"/>
          <w:szCs w:val="20"/>
        </w:rPr>
      </w:pPr>
      <w:bookmarkStart w:colFirst="0" w:colLast="0" w:name="_b8emh0z5k9n8" w:id="3"/>
      <w:bookmarkEnd w:id="3"/>
      <w:r w:rsidDel="00000000" w:rsidR="00000000" w:rsidRPr="00000000">
        <w:rPr>
          <w:b w:val="1"/>
          <w:color w:val="03787c"/>
          <w:sz w:val="20"/>
          <w:szCs w:val="20"/>
          <w:rtl w:val="0"/>
        </w:rPr>
        <w:t xml:space="preserve">Expected Impact</w:t>
      </w:r>
    </w:p>
    <w:p w:rsidR="00000000" w:rsidDel="00000000" w:rsidP="00000000" w:rsidRDefault="00000000" w:rsidRPr="00000000" w14:paraId="00000011">
      <w:pPr>
        <w:numPr>
          <w:ilvl w:val="0"/>
          <w:numId w:val="4"/>
        </w:numPr>
        <w:spacing w:after="0" w:afterAutospacing="0" w:before="240" w:lineRule="auto"/>
        <w:ind w:left="720" w:hanging="360"/>
        <w:jc w:val="both"/>
        <w:rPr>
          <w:sz w:val="20"/>
          <w:szCs w:val="20"/>
        </w:rPr>
      </w:pPr>
      <w:r w:rsidDel="00000000" w:rsidR="00000000" w:rsidRPr="00000000">
        <w:rPr>
          <w:sz w:val="20"/>
          <w:szCs w:val="20"/>
          <w:rtl w:val="0"/>
        </w:rPr>
        <w:t xml:space="preserve">Improved living conditions for over 1,600 families through access to resilient housing.</w:t>
      </w:r>
    </w:p>
    <w:p w:rsidR="00000000" w:rsidDel="00000000" w:rsidP="00000000" w:rsidRDefault="00000000" w:rsidRPr="00000000" w14:paraId="00000012">
      <w:pPr>
        <w:numPr>
          <w:ilvl w:val="0"/>
          <w:numId w:val="4"/>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Reduced congestion and emissions by prioritizing public transport and non-motorized mobility.</w:t>
      </w:r>
    </w:p>
    <w:p w:rsidR="00000000" w:rsidDel="00000000" w:rsidP="00000000" w:rsidRDefault="00000000" w:rsidRPr="00000000" w14:paraId="00000013">
      <w:pPr>
        <w:numPr>
          <w:ilvl w:val="0"/>
          <w:numId w:val="4"/>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Strengthened urban governance, promoting inclusive and climate-resilient development.</w:t>
      </w:r>
    </w:p>
    <w:p w:rsidR="00000000" w:rsidDel="00000000" w:rsidP="00000000" w:rsidRDefault="00000000" w:rsidRPr="00000000" w14:paraId="00000014">
      <w:pPr>
        <w:numPr>
          <w:ilvl w:val="0"/>
          <w:numId w:val="4"/>
        </w:numPr>
        <w:spacing w:after="240" w:before="0" w:beforeAutospacing="0" w:lineRule="auto"/>
        <w:ind w:left="720" w:hanging="360"/>
        <w:jc w:val="both"/>
        <w:rPr>
          <w:sz w:val="20"/>
          <w:szCs w:val="20"/>
        </w:rPr>
      </w:pPr>
      <w:r w:rsidDel="00000000" w:rsidR="00000000" w:rsidRPr="00000000">
        <w:rPr>
          <w:sz w:val="20"/>
          <w:szCs w:val="20"/>
          <w:rtl w:val="0"/>
        </w:rPr>
        <w:t xml:space="preserve">Revitalization of the Historic Center, boosting economic activity and tourism.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