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20" w:line="276" w:lineRule="auto"/>
        <w:jc w:val="left"/>
      </w:pPr>
      <w:r>
        <w:t>Guía formal de presentación y uso del agente</w:t>
        <w:br/>
        <w:t>CSV/JSON con API de Claude</w:t>
      </w:r>
    </w:p>
    <w:p>
      <w:pPr>
        <w:pStyle w:val="CustomSubtitle"/>
        <w:jc w:val="left"/>
      </w:pPr>
      <w:r>
        <w:t>Versión prevista para validación final con API key activa. Documento orientado a uso, defensa y cierre funcional.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953"/>
        <w:gridCol w:w="2835"/>
      </w:tblGrid>
      <w:tr>
        <w:tc>
          <w:tcPr>
            <w:tcW w:type="dxa" w:w="4929"/>
            <w:shd w:fill="1F4E79"/>
            <w:vAlign w:val="center"/>
          </w:tcPr>
          <w:p>
            <w:pPr>
              <w:spacing w:before="60" w:after="60" w:line="240" w:lineRule="auto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Documento de apoyo para exposición y demostración</w:t>
            </w:r>
          </w:p>
        </w:tc>
        <w:tc>
          <w:tcPr>
            <w:tcW w:type="dxa" w:w="4929"/>
            <w:shd w:fill="D9EAF7"/>
            <w:vAlign w:val="center"/>
          </w:tcPr>
          <w:p>
            <w:pPr>
              <w:spacing w:before="60" w:after="60" w:line="240" w:lineRule="auto"/>
              <w:jc w:val="center"/>
            </w:pPr>
            <w:r/>
            <w:r>
              <w:rPr>
                <w:rFonts w:ascii="Aptos" w:hAnsi="Aptos"/>
                <w:b/>
                <w:color w:val="1F4E79"/>
                <w:sz w:val="21"/>
              </w:rPr>
              <w:t>Versión con API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E3F3"/>
          <w:left w:val="single" w:sz="8" w:space="0" w:color="D6E3F3"/>
          <w:bottom w:val="single" w:sz="8" w:space="0" w:color="D6E3F3"/>
          <w:right w:val="single" w:sz="8" w:space="0" w:color="D6E3F3"/>
          <w:insideH w:val="single" w:sz="8" w:space="0" w:color="D6E3F3"/>
          <w:insideV w:val="single" w:sz="8" w:space="0" w:color="D6E3F3"/>
        </w:tblBorders>
      </w:tblPr>
      <w:tblGrid>
        <w:gridCol w:w="4929"/>
        <w:gridCol w:w="4929"/>
      </w:tblGrid>
      <w:tr>
        <w:tc>
          <w:tcPr>
            <w:tcW w:type="dxa" w:w="2438"/>
            <w:shd w:fill="EEF4FB"/>
            <w:vAlign w:val="center"/>
          </w:tcPr>
          <w:p>
            <w:r/>
            <w:r>
              <w:rPr>
                <w:rFonts w:ascii="Aptos" w:hAnsi="Aptos"/>
                <w:b/>
                <w:color w:val="1F1F1F"/>
                <w:sz w:val="21"/>
              </w:rPr>
              <w:t>Propósito</w:t>
            </w:r>
          </w:p>
        </w:tc>
        <w:tc>
          <w:tcPr>
            <w:tcW w:type="dxa" w:w="6690"/>
            <w:shd w:fill="F9FBFE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21"/>
              </w:rPr>
              <w:t>Explicar cómo funciona la versión final del agente cuando se dispone de una API key válida y cómo presentarla correctamente.</w:t>
            </w:r>
          </w:p>
        </w:tc>
      </w:tr>
      <w:tr>
        <w:tc>
          <w:tcPr>
            <w:tcW w:type="dxa" w:w="2438"/>
            <w:shd w:fill="EEF4FB"/>
            <w:vAlign w:val="center"/>
          </w:tcPr>
          <w:p>
            <w:r/>
            <w:r>
              <w:rPr>
                <w:rFonts w:ascii="Aptos" w:hAnsi="Aptos"/>
                <w:b/>
                <w:color w:val="1F1F1F"/>
                <w:sz w:val="21"/>
              </w:rPr>
              <w:t>Qué cambia respecto a la simulación</w:t>
            </w:r>
          </w:p>
        </w:tc>
        <w:tc>
          <w:tcPr>
            <w:tcW w:type="dxa" w:w="6690"/>
            <w:shd w:fill="F9FBFE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21"/>
              </w:rPr>
              <w:t>La secuencia de herramientas deja de estar prefijada localmente y pasa a ser coordinada por el modelo a través del mecanismo de tool use.</w:t>
            </w:r>
          </w:p>
        </w:tc>
      </w:tr>
      <w:tr>
        <w:tc>
          <w:tcPr>
            <w:tcW w:type="dxa" w:w="2438"/>
            <w:shd w:fill="EEF4FB"/>
            <w:vAlign w:val="center"/>
          </w:tcPr>
          <w:p>
            <w:r/>
            <w:r>
              <w:rPr>
                <w:rFonts w:ascii="Aptos" w:hAnsi="Aptos"/>
                <w:b/>
                <w:color w:val="1F1F1F"/>
                <w:sz w:val="21"/>
              </w:rPr>
              <w:t>Estado esperado</w:t>
            </w:r>
          </w:p>
        </w:tc>
        <w:tc>
          <w:tcPr>
            <w:tcW w:type="dxa" w:w="6690"/>
            <w:shd w:fill="F9FBFE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21"/>
              </w:rPr>
              <w:t>Tras configurar la API key y ejecutar las pruebas clave, esta versión puede considerarse la validación final del proyecto.</w:t>
            </w:r>
          </w:p>
        </w:tc>
      </w:tr>
    </w:tbl>
    <w:p/>
    <w:p>
      <w:pPr>
        <w:pStyle w:val="Heading1"/>
      </w:pPr>
      <w:r>
        <w:t>1. Visión general</w:t>
      </w:r>
    </w:p>
    <w:p>
      <w:pPr>
        <w:spacing w:before="0" w:after="120" w:line="276" w:lineRule="auto"/>
      </w:pPr>
      <w:r>
        <w:rPr>
          <w:rFonts w:ascii="Aptos" w:hAnsi="Aptos"/>
          <w:sz w:val="22"/>
        </w:rPr>
        <w:t>La versión con API mantiene las mismas herramientas locales de carga, análisis y guardado de informes, pero incorpora un proveedor externo de inteligencia artificial para decidir qué herramienta usar y en qué secuencia. Esto es lo que convierte el programa en un agente basado en herramientas.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E3F3"/>
          <w:left w:val="single" w:sz="6" w:space="0" w:color="D6E3F3"/>
          <w:bottom w:val="single" w:sz="6" w:space="0" w:color="D6E3F3"/>
          <w:right w:val="single" w:sz="6" w:space="0" w:color="D6E3F3"/>
          <w:insideH w:val="single" w:sz="6" w:space="0" w:color="D6E3F3"/>
          <w:insideV w:val="single" w:sz="6" w:space="0" w:color="D6E3F3"/>
        </w:tblBorders>
      </w:tblPr>
      <w:tblGrid>
        <w:gridCol w:w="9184"/>
      </w:tblGrid>
      <w:tr>
        <w:tc>
          <w:tcPr>
            <w:tcW w:type="dxa" w:w="9859"/>
            <w:shd w:fill="2E75B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Idea principal para exponer</w:t>
            </w:r>
          </w:p>
        </w:tc>
      </w:tr>
      <w:tr>
        <w:tc>
          <w:tcPr>
            <w:tcW w:type="dxa" w:w="9859"/>
            <w:shd w:fill="F3F7FC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Aptos" w:hAnsi="Aptos"/>
                <w:sz w:val="21"/>
              </w:rPr>
              <w:t>El modelo no sustituye la lógica de negocio. La lógica sigue residiendo en tools.py. La API aporta coordinación autónoma, es decir, la capacidad de elegir, invocar y encadenar herramientas para completar la tarea.</w:t>
            </w:r>
          </w:p>
        </w:tc>
      </w:tr>
    </w:tbl>
    <w:p/>
    <w:p>
      <w:pPr>
        <w:pStyle w:val="Heading1"/>
      </w:pPr>
      <w:r>
        <w:t>2. Funcionamiento del agente con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4929"/>
        <w:gridCol w:w="4929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4E79"/>
                <w:sz w:val="20"/>
              </w:rPr>
              <w:t>Fase</w:t>
            </w:r>
          </w:p>
        </w:tc>
        <w:tc>
          <w:tcPr>
            <w:tcW w:type="dxa" w:w="691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4E79"/>
                <w:sz w:val="20"/>
              </w:rPr>
              <w:t>Qué ocurre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Solicitud inicial</w:t>
            </w:r>
          </w:p>
        </w:tc>
        <w:tc>
          <w:tcPr>
            <w:tcW w:type="dxa" w:w="691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El usuario indica qué archivo debe analizarse y dónde debe guardarse el informe.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Decisión del modelo</w:t>
            </w:r>
          </w:p>
        </w:tc>
        <w:tc>
          <w:tcPr>
            <w:tcW w:type="dxa" w:w="691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Claude interpreta el objetivo y solicita el uso de una tool concreta.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Ejecución local</w:t>
            </w:r>
          </w:p>
        </w:tc>
        <w:tc>
          <w:tcPr>
            <w:tcW w:type="dxa" w:w="691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main.py ejecuta la herramienta pedida y devuelve el resultado al modelo.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Continuación autónoma</w:t>
            </w:r>
          </w:p>
        </w:tc>
        <w:tc>
          <w:tcPr>
            <w:tcW w:type="dxa" w:w="691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El modelo puede pedir otra tool hasta completar la tarea.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Cierre</w:t>
            </w:r>
          </w:p>
        </w:tc>
        <w:tc>
          <w:tcPr>
            <w:tcW w:type="dxa" w:w="691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Se devuelve un mensaje final y queda generado el informe en outputs.</w:t>
            </w:r>
          </w:p>
        </w:tc>
      </w:tr>
    </w:tbl>
    <w:p/>
    <w:p>
      <w:pPr>
        <w:pStyle w:val="Heading1"/>
      </w:pPr>
      <w:r>
        <w:t>3. Requisitos previos</w:t>
      </w:r>
    </w:p>
    <w:p>
      <w:pPr>
        <w:spacing w:before="0" w:after="60" w:line="276" w:lineRule="auto"/>
        <w:ind w:left="227" w:hanging="227"/>
      </w:pPr>
      <w:r>
        <w:rPr>
          <w:rFonts w:ascii="Aptos" w:hAnsi="Aptos"/>
          <w:b/>
          <w:sz w:val="22"/>
        </w:rPr>
        <w:t xml:space="preserve">1. </w:t>
      </w:r>
      <w:r>
        <w:rPr>
          <w:rFonts w:ascii="Aptos" w:hAnsi="Aptos"/>
          <w:sz w:val="22"/>
        </w:rPr>
        <w:t>Contar con una API key válida del proveedor.</w:t>
      </w:r>
    </w:p>
    <w:p>
      <w:pPr>
        <w:spacing w:before="0" w:after="60" w:line="276" w:lineRule="auto"/>
        <w:ind w:left="227" w:hanging="227"/>
      </w:pPr>
      <w:r>
        <w:rPr>
          <w:rFonts w:ascii="Aptos" w:hAnsi="Aptos"/>
          <w:b/>
          <w:sz w:val="22"/>
        </w:rPr>
        <w:t xml:space="preserve">2. </w:t>
      </w:r>
      <w:r>
        <w:rPr>
          <w:rFonts w:ascii="Aptos" w:hAnsi="Aptos"/>
          <w:sz w:val="22"/>
        </w:rPr>
        <w:t>Guardar la clave en el archivo .env usando la variable ANTHROPIC_API_KEY.</w:t>
      </w:r>
    </w:p>
    <w:p>
      <w:pPr>
        <w:spacing w:before="0" w:after="60" w:line="276" w:lineRule="auto"/>
        <w:ind w:left="227" w:hanging="227"/>
      </w:pPr>
      <w:r>
        <w:rPr>
          <w:rFonts w:ascii="Aptos" w:hAnsi="Aptos"/>
          <w:b/>
          <w:sz w:val="22"/>
        </w:rPr>
        <w:t xml:space="preserve">3. </w:t>
      </w:r>
      <w:r>
        <w:rPr>
          <w:rFonts w:ascii="Aptos" w:hAnsi="Aptos"/>
          <w:sz w:val="22"/>
        </w:rPr>
        <w:t>Tener instaladas las dependencias del proyecto y el entorno virtual activado.</w:t>
      </w:r>
    </w:p>
    <w:p>
      <w:pPr>
        <w:spacing w:before="0" w:after="60" w:line="276" w:lineRule="auto"/>
        <w:ind w:left="227" w:hanging="227"/>
      </w:pPr>
      <w:r>
        <w:rPr>
          <w:rFonts w:ascii="Aptos" w:hAnsi="Aptos"/>
          <w:b/>
          <w:sz w:val="22"/>
        </w:rPr>
        <w:t xml:space="preserve">4. </w:t>
      </w:r>
      <w:r>
        <w:rPr>
          <w:rFonts w:ascii="Aptos" w:hAnsi="Aptos"/>
          <w:sz w:val="22"/>
        </w:rPr>
        <w:t>Disponer de uno o varios archivos de prueba dentro de la carpeta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2"/>
          <w:left w:val="single" w:sz="4" w:space="0" w:color="D9E2F2"/>
          <w:bottom w:val="single" w:sz="4" w:space="0" w:color="D9E2F2"/>
          <w:right w:val="single" w:sz="4" w:space="0" w:color="D9E2F2"/>
          <w:insideH w:val="single" w:sz="4" w:space="0" w:color="D9E2F2"/>
          <w:insideV w:val="single" w:sz="4" w:space="0" w:color="D9E2F2"/>
        </w:tblBorders>
      </w:tblPr>
      <w:tblGrid>
        <w:gridCol w:w="9071"/>
      </w:tblGrid>
      <w:tr>
        <w:tc>
          <w:tcPr>
            <w:tcW w:type="dxa" w:w="9859"/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9"/>
              </w:rPr>
              <w:t>ANTHROPIC_API_KEY=tu_api_key_real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E3F3"/>
          <w:left w:val="single" w:sz="6" w:space="0" w:color="D6E3F3"/>
          <w:bottom w:val="single" w:sz="6" w:space="0" w:color="D6E3F3"/>
          <w:right w:val="single" w:sz="6" w:space="0" w:color="D6E3F3"/>
          <w:insideH w:val="single" w:sz="6" w:space="0" w:color="D6E3F3"/>
          <w:insideV w:val="single" w:sz="6" w:space="0" w:color="D6E3F3"/>
        </w:tblBorders>
      </w:tblPr>
      <w:tblGrid>
        <w:gridCol w:w="9184"/>
      </w:tblGrid>
      <w:tr>
        <w:tc>
          <w:tcPr>
            <w:tcW w:type="dxa" w:w="9859"/>
            <w:shd w:fill="2E75B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Importante</w:t>
            </w:r>
          </w:p>
        </w:tc>
      </w:tr>
      <w:tr>
        <w:tc>
          <w:tcPr>
            <w:tcW w:type="dxa" w:w="9859"/>
            <w:shd w:fill="F3F7FC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Aptos" w:hAnsi="Aptos"/>
                <w:sz w:val="21"/>
              </w:rPr>
              <w:t>Añadir la API key no equivale por sí solo a la validación final. Después hay que ejecutar al menos un caso correcto y un caso con errores para verificar el comportamiento extremo a extremo.</w:t>
            </w:r>
          </w:p>
        </w:tc>
      </w:tr>
    </w:tbl>
    <w:p/>
    <w:p>
      <w:r>
        <w:br w:type="page"/>
      </w:r>
    </w:p>
    <w:p>
      <w:pPr>
        <w:pStyle w:val="Heading1"/>
      </w:pPr>
      <w:r>
        <w:t>4. Cómo usarlo paso a paso</w:t>
      </w:r>
    </w:p>
    <w:p>
      <w:pPr>
        <w:spacing w:before="0" w:after="60" w:line="276" w:lineRule="auto"/>
        <w:ind w:left="227" w:hanging="227"/>
      </w:pPr>
      <w:r>
        <w:rPr>
          <w:rFonts w:ascii="Aptos" w:hAnsi="Aptos"/>
          <w:b/>
          <w:sz w:val="22"/>
        </w:rPr>
        <w:t xml:space="preserve">1. </w:t>
      </w:r>
      <w:r>
        <w:rPr>
          <w:rFonts w:ascii="Aptos" w:hAnsi="Aptos"/>
          <w:sz w:val="22"/>
        </w:rPr>
        <w:t>Abrir terminal en la carpeta del proyecto con el entorno virtual activado.</w:t>
      </w:r>
    </w:p>
    <w:p>
      <w:pPr>
        <w:spacing w:before="0" w:after="60" w:line="276" w:lineRule="auto"/>
        <w:ind w:left="227" w:hanging="227"/>
      </w:pPr>
      <w:r>
        <w:rPr>
          <w:rFonts w:ascii="Aptos" w:hAnsi="Aptos"/>
          <w:b/>
          <w:sz w:val="22"/>
        </w:rPr>
        <w:t xml:space="preserve">2. </w:t>
      </w:r>
      <w:r>
        <w:rPr>
          <w:rFonts w:ascii="Aptos" w:hAnsi="Aptos"/>
          <w:sz w:val="22"/>
        </w:rPr>
        <w:t>Comprobar que el archivo .env contiene la clave activa.</w:t>
      </w:r>
    </w:p>
    <w:p>
      <w:pPr>
        <w:spacing w:before="0" w:after="60" w:line="276" w:lineRule="auto"/>
        <w:ind w:left="227" w:hanging="227"/>
      </w:pPr>
      <w:r>
        <w:rPr>
          <w:rFonts w:ascii="Aptos" w:hAnsi="Aptos"/>
          <w:b/>
          <w:sz w:val="22"/>
        </w:rPr>
        <w:t xml:space="preserve">3. </w:t>
      </w:r>
      <w:r>
        <w:rPr>
          <w:rFonts w:ascii="Aptos" w:hAnsi="Aptos"/>
          <w:sz w:val="22"/>
        </w:rPr>
        <w:t>Ejecutar python main.py.</w:t>
      </w:r>
    </w:p>
    <w:p>
      <w:pPr>
        <w:spacing w:before="0" w:after="60" w:line="276" w:lineRule="auto"/>
        <w:ind w:left="227" w:hanging="227"/>
      </w:pPr>
      <w:r>
        <w:rPr>
          <w:rFonts w:ascii="Aptos" w:hAnsi="Aptos"/>
          <w:b/>
          <w:sz w:val="22"/>
        </w:rPr>
        <w:t xml:space="preserve">4. </w:t>
      </w:r>
      <w:r>
        <w:rPr>
          <w:rFonts w:ascii="Aptos" w:hAnsi="Aptos"/>
          <w:sz w:val="22"/>
        </w:rPr>
        <w:t>Elegir la opción 1 para el caso correcto, la opción 2 para el caso con errores o la opción 3 para indicar una ruta manual.</w:t>
      </w:r>
    </w:p>
    <w:p>
      <w:pPr>
        <w:spacing w:before="0" w:after="60" w:line="276" w:lineRule="auto"/>
        <w:ind w:left="227" w:hanging="227"/>
      </w:pPr>
      <w:r>
        <w:rPr>
          <w:rFonts w:ascii="Aptos" w:hAnsi="Aptos"/>
          <w:b/>
          <w:sz w:val="22"/>
        </w:rPr>
        <w:t xml:space="preserve">5. </w:t>
      </w:r>
      <w:r>
        <w:rPr>
          <w:rFonts w:ascii="Aptos" w:hAnsi="Aptos"/>
          <w:sz w:val="22"/>
        </w:rPr>
        <w:t>Observar en terminal las iteraciones del agente y las tools solicitadas.</w:t>
      </w:r>
    </w:p>
    <w:p>
      <w:pPr>
        <w:spacing w:before="0" w:after="60" w:line="276" w:lineRule="auto"/>
        <w:ind w:left="227" w:hanging="227"/>
      </w:pPr>
      <w:r>
        <w:rPr>
          <w:rFonts w:ascii="Aptos" w:hAnsi="Aptos"/>
          <w:b/>
          <w:sz w:val="22"/>
        </w:rPr>
        <w:t xml:space="preserve">6. </w:t>
      </w:r>
      <w:r>
        <w:rPr>
          <w:rFonts w:ascii="Aptos" w:hAnsi="Aptos"/>
          <w:sz w:val="22"/>
        </w:rPr>
        <w:t>Revisar el informe final generado en la carpeta outputs.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2"/>
          <w:left w:val="single" w:sz="4" w:space="0" w:color="D9E2F2"/>
          <w:bottom w:val="single" w:sz="4" w:space="0" w:color="D9E2F2"/>
          <w:right w:val="single" w:sz="4" w:space="0" w:color="D9E2F2"/>
          <w:insideH w:val="single" w:sz="4" w:space="0" w:color="D9E2F2"/>
          <w:insideV w:val="single" w:sz="4" w:space="0" w:color="D9E2F2"/>
        </w:tblBorders>
      </w:tblPr>
      <w:tblGrid>
        <w:gridCol w:w="9071"/>
      </w:tblGrid>
      <w:tr>
        <w:tc>
          <w:tcPr>
            <w:tcW w:type="dxa" w:w="9859"/>
            <w:shd w:fill="F5F7FA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9"/>
              </w:rPr>
              <w:t>python main.py</w:t>
            </w:r>
          </w:p>
        </w:tc>
      </w:tr>
    </w:tbl>
    <w:p/>
    <w:p>
      <w:pPr>
        <w:pStyle w:val="Heading1"/>
      </w:pPr>
      <w:r>
        <w:t>5. Qué debe verse durante una ejecución correcta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4929"/>
        <w:gridCol w:w="4929"/>
      </w:tblGrid>
      <w:tr>
        <w:tc>
          <w:tcPr>
            <w:tcW w:type="dxa" w:w="272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4E79"/>
                <w:sz w:val="20"/>
              </w:rPr>
              <w:t>Evidencia</w:t>
            </w:r>
          </w:p>
        </w:tc>
        <w:tc>
          <w:tcPr>
            <w:tcW w:type="dxa" w:w="646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4E79"/>
                <w:sz w:val="20"/>
              </w:rPr>
              <w:t>Interpretación</w:t>
            </w:r>
          </w:p>
        </w:tc>
      </w:tr>
      <w:tr>
        <w:tc>
          <w:tcPr>
            <w:tcW w:type="dxa" w:w="272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Iteración con tool_use</w:t>
            </w:r>
          </w:p>
        </w:tc>
        <w:tc>
          <w:tcPr>
            <w:tcW w:type="dxa" w:w="6463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El modelo está pidiendo una herramienta de forma explícita.</w:t>
            </w:r>
          </w:p>
        </w:tc>
      </w:tr>
      <w:tr>
        <w:tc>
          <w:tcPr>
            <w:tcW w:type="dxa" w:w="272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load_dataset</w:t>
            </w:r>
          </w:p>
        </w:tc>
        <w:tc>
          <w:tcPr>
            <w:tcW w:type="dxa" w:w="6463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Se ha cargado el archivo y el agente ya conoce su estructura.</w:t>
            </w:r>
          </w:p>
        </w:tc>
      </w:tr>
      <w:tr>
        <w:tc>
          <w:tcPr>
            <w:tcW w:type="dxa" w:w="272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analyze_dataset</w:t>
            </w:r>
          </w:p>
        </w:tc>
        <w:tc>
          <w:tcPr>
            <w:tcW w:type="dxa" w:w="6463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Se están evaluando las reglas de calidad de datos.</w:t>
            </w:r>
          </w:p>
        </w:tc>
      </w:tr>
      <w:tr>
        <w:tc>
          <w:tcPr>
            <w:tcW w:type="dxa" w:w="272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save_report</w:t>
            </w:r>
          </w:p>
        </w:tc>
        <w:tc>
          <w:tcPr>
            <w:tcW w:type="dxa" w:w="6463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Se ha guardado la salida final en disco.</w:t>
            </w:r>
          </w:p>
        </w:tc>
      </w:tr>
      <w:tr>
        <w:tc>
          <w:tcPr>
            <w:tcW w:type="dxa" w:w="272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Mensaje final</w:t>
            </w:r>
          </w:p>
        </w:tc>
        <w:tc>
          <w:tcPr>
            <w:tcW w:type="dxa" w:w="6463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La tarea se ha cerrado sin intervención manual entre pasos.</w:t>
            </w:r>
          </w:p>
        </w:tc>
      </w:tr>
    </w:tbl>
    <w:p/>
    <w:p>
      <w:pPr>
        <w:spacing w:before="0" w:after="120" w:line="276" w:lineRule="auto"/>
      </w:pPr>
      <w:r>
        <w:rPr>
          <w:rFonts w:ascii="Aptos" w:hAnsi="Aptos"/>
          <w:sz w:val="22"/>
        </w:rPr>
        <w:t>En la defensa conviene remarcar que el agente no se limita a redactar una respuesta, sino que orquesta herramientas reales que producen efectos verificables sobre el entorno de trabajo.</w:t>
      </w:r>
    </w:p>
    <w:p>
      <w:r>
        <w:br w:type="page"/>
      </w:r>
    </w:p>
    <w:p>
      <w:pPr>
        <w:pStyle w:val="Heading1"/>
      </w:pPr>
      <w:r>
        <w:t>6. Cómo presentarlo en una exposición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3286"/>
        <w:gridCol w:w="3286"/>
        <w:gridCol w:w="3286"/>
      </w:tblGrid>
      <w:tr>
        <w:tc>
          <w:tcPr>
            <w:tcW w:type="dxa" w:w="153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4E79"/>
                <w:sz w:val="20"/>
              </w:rPr>
              <w:t>Tramo</w:t>
            </w:r>
          </w:p>
        </w:tc>
        <w:tc>
          <w:tcPr>
            <w:tcW w:type="dxa" w:w="379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4E79"/>
                <w:sz w:val="20"/>
              </w:rPr>
              <w:t>Mensaje sugerido</w:t>
            </w:r>
          </w:p>
        </w:tc>
        <w:tc>
          <w:tcPr>
            <w:tcW w:type="dxa" w:w="385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4E79"/>
                <w:sz w:val="20"/>
              </w:rPr>
              <w:t>Material a mostrar</w:t>
            </w:r>
          </w:p>
        </w:tc>
      </w:tr>
      <w:tr>
        <w:tc>
          <w:tcPr>
            <w:tcW w:type="dxa" w:w="153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Introducción</w:t>
            </w:r>
          </w:p>
        </w:tc>
        <w:tc>
          <w:tcPr>
            <w:tcW w:type="dxa" w:w="379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El agente usa una API de IA para decidir qué herramienta debe emplear en cada momento.</w:t>
            </w:r>
          </w:p>
        </w:tc>
        <w:tc>
          <w:tcPr>
            <w:tcW w:type="dxa" w:w="385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Código de main.py y descripción de tools.py.</w:t>
            </w:r>
          </w:p>
        </w:tc>
      </w:tr>
      <w:tr>
        <w:tc>
          <w:tcPr>
            <w:tcW w:type="dxa" w:w="153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Demostración</w:t>
            </w:r>
          </w:p>
        </w:tc>
        <w:tc>
          <w:tcPr>
            <w:tcW w:type="dxa" w:w="379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Se lanza una tarea concreta y el sistema avanza de forma autónoma por varias iteraciones.</w:t>
            </w:r>
          </w:p>
        </w:tc>
        <w:tc>
          <w:tcPr>
            <w:tcW w:type="dxa" w:w="385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Terminal con las llamadas a tools.</w:t>
            </w:r>
          </w:p>
        </w:tc>
      </w:tr>
      <w:tr>
        <w:tc>
          <w:tcPr>
            <w:tcW w:type="dxa" w:w="153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Resultado</w:t>
            </w:r>
          </w:p>
        </w:tc>
        <w:tc>
          <w:tcPr>
            <w:tcW w:type="dxa" w:w="379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El informe generado resume hallazgos y permite revisar los datos antes de usarlos.</w:t>
            </w:r>
          </w:p>
        </w:tc>
        <w:tc>
          <w:tcPr>
            <w:tcW w:type="dxa" w:w="385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Archivo .md dentro de outputs.</w:t>
            </w:r>
          </w:p>
        </w:tc>
      </w:tr>
      <w:tr>
        <w:tc>
          <w:tcPr>
            <w:tcW w:type="dxa" w:w="153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Conclusión</w:t>
            </w:r>
          </w:p>
        </w:tc>
        <w:tc>
          <w:tcPr>
            <w:tcW w:type="dxa" w:w="379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La lógica ya estaba validada localmente y ahora queda confirmada la coordinación autónoma mediante API.</w:t>
            </w:r>
          </w:p>
        </w:tc>
        <w:tc>
          <w:tcPr>
            <w:tcW w:type="dxa" w:w="385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Resumen de los dos modos de trabajo.</w:t>
            </w:r>
          </w:p>
        </w:tc>
      </w:tr>
    </w:tbl>
    <w:p/>
    <w:p>
      <w:pPr>
        <w:pStyle w:val="Heading1"/>
      </w:pPr>
      <w:r>
        <w:t>7. Validación final tras incorporar la API key</w:t>
      </w:r>
    </w:p>
    <w:p>
      <w:pPr>
        <w:spacing w:before="0" w:after="60" w:line="276" w:lineRule="auto"/>
        <w:ind w:left="227" w:hanging="227"/>
      </w:pPr>
      <w:r>
        <w:rPr>
          <w:rFonts w:ascii="Aptos" w:hAnsi="Aptos"/>
          <w:b/>
          <w:sz w:val="22"/>
        </w:rPr>
        <w:t xml:space="preserve">1. </w:t>
      </w:r>
      <w:r>
        <w:rPr>
          <w:rFonts w:ascii="Aptos" w:hAnsi="Aptos"/>
          <w:sz w:val="22"/>
        </w:rPr>
        <w:t>Verificar que la clave se carga correctamente desde .env.</w:t>
      </w:r>
    </w:p>
    <w:p>
      <w:pPr>
        <w:spacing w:before="0" w:after="60" w:line="276" w:lineRule="auto"/>
        <w:ind w:left="227" w:hanging="227"/>
      </w:pPr>
      <w:r>
        <w:rPr>
          <w:rFonts w:ascii="Aptos" w:hAnsi="Aptos"/>
          <w:b/>
          <w:sz w:val="22"/>
        </w:rPr>
        <w:t xml:space="preserve">2. </w:t>
      </w:r>
      <w:r>
        <w:rPr>
          <w:rFonts w:ascii="Aptos" w:hAnsi="Aptos"/>
          <w:sz w:val="22"/>
        </w:rPr>
        <w:t>Ejecutar el caso correcto y comprobar que el informe no contiene incidencias.</w:t>
      </w:r>
    </w:p>
    <w:p>
      <w:pPr>
        <w:spacing w:before="0" w:after="60" w:line="276" w:lineRule="auto"/>
        <w:ind w:left="227" w:hanging="227"/>
      </w:pPr>
      <w:r>
        <w:rPr>
          <w:rFonts w:ascii="Aptos" w:hAnsi="Aptos"/>
          <w:b/>
          <w:sz w:val="22"/>
        </w:rPr>
        <w:t xml:space="preserve">3. </w:t>
      </w:r>
      <w:r>
        <w:rPr>
          <w:rFonts w:ascii="Aptos" w:hAnsi="Aptos"/>
          <w:sz w:val="22"/>
        </w:rPr>
        <w:t>Ejecutar el caso con errores y comprobar que el informe sí las refleja.</w:t>
      </w:r>
    </w:p>
    <w:p>
      <w:pPr>
        <w:spacing w:before="0" w:after="60" w:line="276" w:lineRule="auto"/>
        <w:ind w:left="227" w:hanging="227"/>
      </w:pPr>
      <w:r>
        <w:rPr>
          <w:rFonts w:ascii="Aptos" w:hAnsi="Aptos"/>
          <w:b/>
          <w:sz w:val="22"/>
        </w:rPr>
        <w:t xml:space="preserve">4. </w:t>
      </w:r>
      <w:r>
        <w:rPr>
          <w:rFonts w:ascii="Aptos" w:hAnsi="Aptos"/>
          <w:sz w:val="22"/>
        </w:rPr>
        <w:t>Confirmar que el flujo usa varias tools y no requiere intervención manual entre pasos.</w:t>
      </w:r>
    </w:p>
    <w:p>
      <w:pPr>
        <w:spacing w:before="0" w:after="60" w:line="276" w:lineRule="auto"/>
        <w:ind w:left="227" w:hanging="227"/>
      </w:pPr>
      <w:r>
        <w:rPr>
          <w:rFonts w:ascii="Aptos" w:hAnsi="Aptos"/>
          <w:b/>
          <w:sz w:val="22"/>
        </w:rPr>
        <w:t xml:space="preserve">5. </w:t>
      </w:r>
      <w:r>
        <w:rPr>
          <w:rFonts w:ascii="Aptos" w:hAnsi="Aptos"/>
          <w:sz w:val="22"/>
        </w:rPr>
        <w:t>Revisar que la salida final y los mensajes en terminal son suficientemente claros para exponerlos.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E3F3"/>
          <w:left w:val="single" w:sz="6" w:space="0" w:color="D6E3F3"/>
          <w:bottom w:val="single" w:sz="6" w:space="0" w:color="D6E3F3"/>
          <w:right w:val="single" w:sz="6" w:space="0" w:color="D6E3F3"/>
          <w:insideH w:val="single" w:sz="6" w:space="0" w:color="D6E3F3"/>
          <w:insideV w:val="single" w:sz="6" w:space="0" w:color="D6E3F3"/>
        </w:tblBorders>
      </w:tblPr>
      <w:tblGrid>
        <w:gridCol w:w="9184"/>
      </w:tblGrid>
      <w:tr>
        <w:tc>
          <w:tcPr>
            <w:tcW w:type="dxa" w:w="9859"/>
            <w:shd w:fill="2E75B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Cuándo puede considerarse versión final</w:t>
            </w:r>
          </w:p>
        </w:tc>
      </w:tr>
      <w:tr>
        <w:tc>
          <w:tcPr>
            <w:tcW w:type="dxa" w:w="9859"/>
            <w:shd w:fill="F3F7FC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Aptos" w:hAnsi="Aptos"/>
                <w:sz w:val="21"/>
              </w:rPr>
              <w:t>Cuando la clave es válida, la llamada a la API responde correctamente, los dos casos de prueba se ejecutan de extremo a extremo y la salida final queda revisada. En ese punto ya no hace falta rediseñar el agente, solo conservar la configuración y preparar la demostración.</w:t>
            </w:r>
          </w:p>
        </w:tc>
      </w:tr>
    </w:tbl>
    <w:p/>
    <w:p>
      <w:pPr>
        <w:pStyle w:val="Heading1"/>
      </w:pPr>
      <w:r>
        <w:t>8. Riesgos o incidencias habituales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3286"/>
        <w:gridCol w:w="3286"/>
        <w:gridCol w:w="3286"/>
      </w:tblGrid>
      <w:tr>
        <w:tc>
          <w:tcPr>
            <w:tcW w:type="dxa" w:w="198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4E79"/>
                <w:sz w:val="20"/>
              </w:rPr>
              <w:t>Incidencia</w:t>
            </w:r>
          </w:p>
        </w:tc>
        <w:tc>
          <w:tcPr>
            <w:tcW w:type="dxa" w:w="289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4E79"/>
                <w:sz w:val="20"/>
              </w:rPr>
              <w:t>Causa probable</w:t>
            </w:r>
          </w:p>
        </w:tc>
        <w:tc>
          <w:tcPr>
            <w:tcW w:type="dxa" w:w="442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4E79"/>
                <w:sz w:val="20"/>
              </w:rPr>
              <w:t>Acción recomendada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Error 401</w:t>
            </w:r>
          </w:p>
        </w:tc>
        <w:tc>
          <w:tcPr>
            <w:tcW w:type="dxa" w:w="289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API key ausente o inválida.</w:t>
            </w:r>
          </w:p>
        </w:tc>
        <w:tc>
          <w:tcPr>
            <w:tcW w:type="dxa" w:w="442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Revisar .env y sustituir la clave.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No se genera informe</w:t>
            </w:r>
          </w:p>
        </w:tc>
        <w:tc>
          <w:tcPr>
            <w:tcW w:type="dxa" w:w="289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Fallo previo en lectura o análisis.</w:t>
            </w:r>
          </w:p>
        </w:tc>
        <w:tc>
          <w:tcPr>
            <w:tcW w:type="dxa" w:w="442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Comprobar rutas y revisar los CSV de prueba.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Salida poco clara</w:t>
            </w:r>
          </w:p>
        </w:tc>
        <w:tc>
          <w:tcPr>
            <w:tcW w:type="dxa" w:w="289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Prompt o mensajes mejorables.</w:t>
            </w:r>
          </w:p>
        </w:tc>
        <w:tc>
          <w:tcPr>
            <w:tcW w:type="dxa" w:w="442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Pulir el texto final tras la validación real.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Demostración débil</w:t>
            </w:r>
          </w:p>
        </w:tc>
        <w:tc>
          <w:tcPr>
            <w:tcW w:type="dxa" w:w="289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Se enseña solo el caso correcto.</w:t>
            </w:r>
          </w:p>
        </w:tc>
        <w:tc>
          <w:tcPr>
            <w:tcW w:type="dxa" w:w="442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Mostrar también el caso con errores para evidenciar valor.</w:t>
            </w:r>
          </w:p>
        </w:tc>
      </w:tr>
    </w:tbl>
    <w:p/>
    <w:p>
      <w:pPr>
        <w:pStyle w:val="Heading1"/>
      </w:pPr>
      <w:r>
        <w:t>9. Cierre sugerido para la presentación</w:t>
      </w:r>
    </w:p>
    <w:p>
      <w:pPr>
        <w:spacing w:before="0" w:after="120" w:line="276" w:lineRule="auto"/>
      </w:pPr>
      <w:r>
        <w:rPr>
          <w:rFonts w:ascii="Aptos" w:hAnsi="Aptos"/>
          <w:sz w:val="22"/>
        </w:rPr>
        <w:t>El cierre ideal consiste en explicar que la solución ya estaba técnicamente preparada y que la API añade la capa final de autonomía. Con ello, el proyecto pasa de ser una demostración funcional local a una versión plenamente operativa como agente conectado a un modelo externo.</w:t>
      </w:r>
    </w:p>
    <w:sectPr w:rsidR="00FC693F" w:rsidRPr="0006063C" w:rsidSect="00034616">
      <w:footerReference w:type="default" r:id="rId9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8"/>
      </w:rPr>
      <w:t>Guía de uso del agente CSV/JSON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E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Subtitle">
    <w:name w:val="Custom Subtitle"/>
    <w:pPr>
      <w:spacing w:after="280"/>
    </w:pPr>
    <w:rPr>
      <w:rFonts w:ascii="Aptos" w:hAnsi="Aptos"/>
      <w:i w:val="0"/>
      <w:color w:val="5A5A5A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