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Agenda #</w:t>
      </w: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2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color w:val="729FCF"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7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 xml:space="preserve"> 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July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 xml:space="preserve"> 2022 – 1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2</w:t>
      </w: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:00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  <w:t>Held: -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2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:00 – Opening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2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:0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5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Begin to design Class Structure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How everything will be linked together (components)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Possibly start coding them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2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45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Discuss some more on technologies used/dev roadmap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How is the transition to Android going to look like?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Should we use JFX for GUI? Might have to use something else later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13:00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 – Github: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Start assigning issues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We should start seeing who will take care of the actual issues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 xml:space="preserve">3:20 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– Question round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3</w:t>
      </w: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:30 – Meeting closure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 Gothic Demi">
    <w:charset w:val="00"/>
    <w:family w:val="roman"/>
    <w:pitch w:val="variable"/>
  </w:font>
  <w:font w:name="Franklin Gothic Book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LibreOffice/7.2.5.2$Windows_X86_64 LibreOffice_project/499f9727c189e6ef3471021d6132d4c694f357e5</Application>
  <AppVersion>15.0000</AppVersion>
  <Pages>1</Pages>
  <Words>86</Words>
  <Characters>417</Characters>
  <CharactersWithSpaces>491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2022-05-18T20:35:58Z</dcterms:created>
  <dc:creator/>
  <dc:description/>
  <dc:language>en-US</dc:language>
  <cp:lastModifiedBy/>
  <dcterms:modified xsi:type="dcterms:W3CDTF">2022-07-07T08:36:16Z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