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357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review</w:t>
      </w:r>
    </w:p>
    <w:p>
      <w:pPr>
        <w:spacing w:before="9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https://github.com/teofil15/FLCD/tree/main/flcd%20lab%207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19" w:leader="none"/>
        </w:tabs>
        <w:spacing w:before="0" w:after="0" w:line="276"/>
        <w:ind w:right="2207" w:left="0" w:firstLine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clarity: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expressions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enhance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readability.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10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changed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to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19" w:leader="none"/>
        </w:tabs>
        <w:spacing w:before="0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Functionality:</w:t>
      </w:r>
    </w:p>
    <w:p>
      <w:pPr>
        <w:spacing w:before="42" w:after="0" w:line="276"/>
        <w:ind w:right="361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augmentation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grammar(addition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starting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symbol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S’)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done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directly in the grammar input file when it should instead be done in code.</w:t>
      </w:r>
    </w:p>
    <w:p>
      <w:pPr>
        <w:spacing w:before="4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19" w:leader="none"/>
        </w:tabs>
        <w:spacing w:before="0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Separation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concerns,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modularity,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readability</w:t>
      </w:r>
    </w:p>
    <w:p>
      <w:pPr>
        <w:spacing w:before="41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separate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Grammar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separate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LR0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would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modular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maintainable.</w:t>
      </w:r>
    </w:p>
    <w:p>
      <w:pPr>
        <w:spacing w:before="4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Grammar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focus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representing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grammar,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reading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file,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 providing information about the grammar, such as productions and non-terminals.</w:t>
      </w:r>
    </w:p>
    <w:p>
      <w:pPr>
        <w:spacing w:before="4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388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LR0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handle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LR(0)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parsing-related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functionalities,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computing closure, constructing the canonical collection of LR(0) items, and building the parsing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table.</w:t>
      </w:r>
    </w:p>
    <w:p>
      <w:pPr>
        <w:spacing w:before="4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719" w:leader="none"/>
        </w:tabs>
        <w:spacing w:before="1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Conciseness and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readability</w:t>
      </w:r>
    </w:p>
    <w:p>
      <w:pPr>
        <w:tabs>
          <w:tab w:val="left" w:pos="5883" w:leader="none"/>
          <w:tab w:val="left" w:pos="6457" w:leader="none"/>
          <w:tab w:val="left" w:pos="6857" w:leader="none"/>
          <w:tab w:val="left" w:pos="7447" w:leader="none"/>
        </w:tabs>
        <w:spacing w:before="41" w:after="0" w:line="276"/>
        <w:ind w:right="508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Consider converting the AnalysisElement class into a data class using the @dataclass decorator. This would eliminate the need to write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init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eq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methods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manually,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resulting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concise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readable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code.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Additionally,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advantage of Python's built-in data class functionality.</w:t>
      </w:r>
    </w:p>
    <w:p>
      <w:pPr>
        <w:spacing w:before="4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719" w:leader="none"/>
        </w:tabs>
        <w:spacing w:before="0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Consistent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naming</w:t>
      </w:r>
    </w:p>
    <w:p>
      <w:pPr>
        <w:spacing w:before="42" w:after="0" w:line="276"/>
        <w:ind w:right="388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Stick to one convention for naming functions and variables. For example, some functions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snake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(read_sequence_from_file),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others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 camel case (generateOutputTree).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719" w:leader="none"/>
        </w:tabs>
        <w:spacing w:before="80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Minimize object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instantiation</w:t>
      </w:r>
    </w:p>
    <w:p>
      <w:pPr>
        <w:spacing w:before="41" w:after="0" w:line="276"/>
        <w:ind w:right="396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‘main’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Grammar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inside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loop.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might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more efficient to reuse the existing grammar object initialized outside the loop, especially if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grammar doesn't change.</w:t>
      </w:r>
    </w:p>
    <w:p>
      <w:pPr>
        <w:spacing w:before="4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719" w:leader="none"/>
        </w:tabs>
        <w:spacing w:before="0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Comments</w:t>
      </w:r>
    </w:p>
    <w:p>
      <w:pPr>
        <w:spacing w:before="42" w:after="0" w:line="276"/>
        <w:ind w:right="361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In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some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more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functions,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was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a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lack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comments,</w:t>
      </w:r>
      <w:r>
        <w:rPr>
          <w:rFonts w:ascii="Roboto" w:hAnsi="Roboto" w:cs="Roboto" w:eastAsia="Roboto"/>
          <w:color w:val="374050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4"/>
          <w:shd w:fill="auto" w:val="clear"/>
        </w:rPr>
        <w:t xml:space="preserve">necessary to better explain the purpose of specific blocks of code, so the person reading could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374050"/>
          <w:spacing w:val="-2"/>
          <w:position w:val="0"/>
          <w:sz w:val="24"/>
          <w:shd w:fill="auto" w:val="clear"/>
        </w:rPr>
        <w:t xml:space="preserve">figure</w:t>
      </w:r>
      <w:r>
        <w:rPr>
          <w:rFonts w:ascii="Roboto" w:hAnsi="Roboto" w:cs="Roboto" w:eastAsia="Roboto"/>
          <w:color w:val="37405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-2"/>
          <w:position w:val="0"/>
          <w:sz w:val="24"/>
          <w:shd w:fill="auto" w:val="clear"/>
        </w:rPr>
        <w:t xml:space="preserve">its</w:t>
      </w:r>
      <w:r>
        <w:rPr>
          <w:rFonts w:ascii="Roboto" w:hAnsi="Roboto" w:cs="Roboto" w:eastAsia="Roboto"/>
          <w:color w:val="37405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-2"/>
          <w:position w:val="0"/>
          <w:sz w:val="24"/>
          <w:shd w:fill="auto" w:val="clear"/>
        </w:rPr>
        <w:t xml:space="preserve">meaning</w:t>
      </w:r>
      <w:r>
        <w:rPr>
          <w:rFonts w:ascii="Roboto" w:hAnsi="Roboto" w:cs="Roboto" w:eastAsia="Roboto"/>
          <w:color w:val="374050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-2"/>
          <w:position w:val="0"/>
          <w:sz w:val="24"/>
          <w:shd w:fill="auto" w:val="clear"/>
        </w:rPr>
        <w:t xml:space="preserve">faster.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9">
    <w:abstractNumId w:val="30"/>
  </w:num>
  <w:num w:numId="12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eofil15/FLCD/tree/main/flcd%20lab%20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