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04: Simulación de Hardy-Weinberg</w:t>
      </w:r>
    </w:p>
    <w:p>
      <w:pPr>
        <w:pStyle w:val="Subtitle"/>
      </w:pPr>
      <w:r>
        <w:t xml:space="preserve">Frecuencias alélicas y equilibrio poblacional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04: Simulación de Hardy-Weinberg</dc:title>
  <dc:creator/>
  <dc:language>es</dc:language>
  <cp:keywords/>
  <dcterms:created xsi:type="dcterms:W3CDTF">2026-06-30T15:40:21Z</dcterms:created>
  <dcterms:modified xsi:type="dcterms:W3CDTF">2026-06-30T15:40:21Z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Frecuencias alélicas y equilibrio poblacional</vt:lpwstr>
  </property>
  <property fmtid="{D5CDD505-2E9C-101B-9397-08002B2CF9AE}" pid="9" name="toc-title">
    <vt:lpwstr>Tabla de contenidos</vt:lpwstr>
  </property>
</Properties>
</file>