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New York University Abu Dhabi</w:t>
      </w:r>
    </w:p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Psychology</w:t>
      </w:r>
    </w:p>
    <w:p>
      <w:pPr>
        <w:pStyle w:val="Body A"/>
        <w:jc w:val="center"/>
        <w:rPr>
          <w:b w:val="1"/>
          <w:bCs w:val="1"/>
          <w:sz w:val="28"/>
          <w:szCs w:val="28"/>
        </w:rPr>
      </w:pPr>
    </w:p>
    <w:p>
      <w:pPr>
        <w:pStyle w:val="Body A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nl-NL"/>
        </w:rPr>
        <w:t>Experimenter Instructions (</w:t>
      </w:r>
      <w:r>
        <w:rPr>
          <w:b w:val="1"/>
          <w:bCs w:val="1"/>
          <w:sz w:val="28"/>
          <w:szCs w:val="28"/>
          <w:rtl w:val="0"/>
          <w:lang w:val="en-US"/>
        </w:rPr>
        <w:t>E-MEG)</w:t>
      </w:r>
    </w:p>
    <w:p>
      <w:pPr>
        <w:pStyle w:val="Body A"/>
        <w:rPr>
          <w:sz w:val="28"/>
          <w:szCs w:val="28"/>
        </w:rPr>
      </w:pPr>
    </w:p>
    <w:p>
      <w:pPr>
        <w:pStyle w:val="Body A"/>
        <w:rPr>
          <w:sz w:val="28"/>
          <w:szCs w:val="28"/>
        </w:rPr>
      </w:pPr>
    </w:p>
    <w:p>
      <w:pPr>
        <w:pStyle w:val="Body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To start this experiment, make sure that the eye-tracker computer is turned on and that the ethernet port is connected to the PC Stimulation computer.</w:t>
      </w:r>
    </w:p>
    <w:p>
      <w:pPr>
        <w:pStyle w:val="Body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Make sure the subject is given the button box with the buttons </w:t>
      </w:r>
      <w:r>
        <w:rPr>
          <w:b w:val="1"/>
          <w:bCs w:val="1"/>
          <w:sz w:val="22"/>
          <w:szCs w:val="22"/>
          <w:rtl w:val="0"/>
          <w:lang w:val="en-US"/>
        </w:rPr>
        <w:t>1</w:t>
      </w:r>
      <w:r>
        <w:rPr>
          <w:sz w:val="22"/>
          <w:szCs w:val="22"/>
          <w:rtl w:val="0"/>
          <w:lang w:val="en-US"/>
        </w:rPr>
        <w:t xml:space="preserve"> and </w:t>
      </w:r>
      <w:r>
        <w:rPr>
          <w:b w:val="1"/>
          <w:bCs w:val="1"/>
          <w:sz w:val="22"/>
          <w:szCs w:val="22"/>
          <w:rtl w:val="0"/>
          <w:lang w:val="en-US"/>
        </w:rPr>
        <w:t>2</w:t>
      </w:r>
      <w:r>
        <w:rPr>
          <w:sz w:val="22"/>
          <w:szCs w:val="22"/>
          <w:rtl w:val="0"/>
          <w:lang w:val="en-US"/>
        </w:rPr>
        <w:t>.</w:t>
      </w:r>
    </w:p>
    <w:p>
      <w:pPr>
        <w:pStyle w:val="Body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While following the ordering on the </w:t>
      </w:r>
      <w:r>
        <w:rPr>
          <w:b w:val="1"/>
          <w:bCs w:val="1"/>
          <w:sz w:val="22"/>
          <w:szCs w:val="22"/>
          <w:rtl w:val="0"/>
          <w:lang w:val="en-US"/>
        </w:rPr>
        <w:t>Subject Log</w:t>
      </w:r>
      <w:r>
        <w:rPr>
          <w:sz w:val="22"/>
          <w:szCs w:val="22"/>
          <w:rtl w:val="0"/>
          <w:lang w:val="en-US"/>
        </w:rPr>
        <w:t>, enter the appropriate counterbalancing list number for experiment, when prompted. Please follow the naming conventions that are detailed in the log.</w:t>
      </w:r>
    </w:p>
    <w:p>
      <w:pPr>
        <w:pStyle w:val="Body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After initiating the experiment, please check that the camera is properly focused on the subject</w:t>
      </w:r>
      <w:r>
        <w:rPr>
          <w:rFonts w:hAnsi="Helvetica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eye. Press </w:t>
      </w:r>
      <w:r>
        <w:rPr>
          <w:b w:val="1"/>
          <w:bCs w:val="1"/>
          <w:sz w:val="22"/>
          <w:szCs w:val="22"/>
          <w:rtl w:val="0"/>
          <w:lang w:val="en-US"/>
        </w:rPr>
        <w:t xml:space="preserve">A </w:t>
      </w:r>
      <w:r>
        <w:rPr>
          <w:sz w:val="22"/>
          <w:szCs w:val="22"/>
          <w:rtl w:val="0"/>
          <w:lang w:val="en-US"/>
        </w:rPr>
        <w:t xml:space="preserve">to auto-balance the pupil settings, and the corneal reflection settings. </w:t>
      </w:r>
    </w:p>
    <w:p>
      <w:pPr>
        <w:pStyle w:val="Body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Please run the eye-tracking calibration procedure. Press </w:t>
      </w:r>
      <w:r>
        <w:rPr>
          <w:b w:val="1"/>
          <w:bCs w:val="1"/>
          <w:sz w:val="22"/>
          <w:szCs w:val="22"/>
          <w:rtl w:val="0"/>
          <w:lang w:val="en-US"/>
        </w:rPr>
        <w:t>C</w:t>
      </w:r>
      <w:r>
        <w:rPr>
          <w:sz w:val="22"/>
          <w:szCs w:val="22"/>
          <w:rtl w:val="0"/>
          <w:lang w:val="en-US"/>
        </w:rPr>
        <w:t xml:space="preserve"> to initiate the procedure and </w:t>
      </w:r>
      <w:r>
        <w:rPr>
          <w:b w:val="1"/>
          <w:bCs w:val="1"/>
          <w:sz w:val="22"/>
          <w:szCs w:val="22"/>
          <w:rtl w:val="0"/>
          <w:lang w:val="en-US"/>
        </w:rPr>
        <w:t>Enter</w:t>
      </w:r>
      <w:r>
        <w:rPr>
          <w:sz w:val="22"/>
          <w:szCs w:val="22"/>
          <w:rtl w:val="0"/>
          <w:lang w:val="en-US"/>
        </w:rPr>
        <w:t xml:space="preserve"> to confirm the subject</w:t>
      </w:r>
      <w:r>
        <w:rPr>
          <w:rFonts w:hAnsi="Helvetica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fixation position. Press </w:t>
      </w:r>
      <w:r>
        <w:rPr>
          <w:b w:val="1"/>
          <w:bCs w:val="1"/>
          <w:sz w:val="22"/>
          <w:szCs w:val="22"/>
          <w:rtl w:val="0"/>
          <w:lang w:val="en-US"/>
        </w:rPr>
        <w:t>Enter</w:t>
      </w:r>
      <w:r>
        <w:rPr>
          <w:sz w:val="22"/>
          <w:szCs w:val="22"/>
          <w:rtl w:val="0"/>
          <w:lang w:val="en-US"/>
        </w:rPr>
        <w:t xml:space="preserve"> once the procedure finishes.</w:t>
      </w:r>
    </w:p>
    <w:p>
      <w:pPr>
        <w:pStyle w:val="Body A"/>
        <w:numPr>
          <w:ilvl w:val="0"/>
          <w:numId w:val="3"/>
        </w:numPr>
        <w:ind w:left="360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After completing the calibration, please validate the calibration procedure with the validation procedure. Press V to initiate the procedure (same steps as the calibration). The validation is used to validate the reliability of the calibration procedure and the subject</w:t>
      </w:r>
      <w:r>
        <w:rPr>
          <w:rFonts w:hAnsi="Helvetica" w:hint="default"/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 xml:space="preserve">s fixation position. Press </w:t>
      </w:r>
      <w:r>
        <w:rPr>
          <w:b w:val="1"/>
          <w:bCs w:val="1"/>
          <w:sz w:val="22"/>
          <w:szCs w:val="22"/>
          <w:rtl w:val="0"/>
          <w:lang w:val="en-US"/>
        </w:rPr>
        <w:t>Enter</w:t>
      </w:r>
      <w:r>
        <w:rPr>
          <w:sz w:val="22"/>
          <w:szCs w:val="22"/>
          <w:rtl w:val="0"/>
          <w:lang w:val="en-US"/>
        </w:rPr>
        <w:t xml:space="preserve"> once the procedure finishes.</w:t>
      </w:r>
    </w:p>
    <w:p>
      <w:pPr>
        <w:pStyle w:val="Body A"/>
        <w:numPr>
          <w:ilvl w:val="0"/>
          <w:numId w:val="3"/>
        </w:numPr>
        <w:ind w:left="360"/>
        <w:rPr>
          <w:position w:val="0"/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After checking in with and reading the instructions to the subject, and once you are ready to start the recording, press O to turn the eye-tracking recording online, which initiate the experiment.</w:t>
      </w:r>
    </w:p>
    <w:p>
      <w:pPr>
        <w:pStyle w:val="Body A"/>
        <w:tabs>
          <w:tab w:val="left" w:pos="360"/>
        </w:tabs>
        <w:rPr>
          <w:sz w:val="22"/>
          <w:szCs w:val="22"/>
          <w:rtl w:val="0"/>
          <w:lang w:val="en-US"/>
        </w:rPr>
      </w:pPr>
    </w:p>
    <w:p>
      <w:pPr>
        <w:pStyle w:val="Body A"/>
        <w:tabs>
          <w:tab w:val="left" w:pos="360"/>
        </w:tabs>
        <w:rPr>
          <w:sz w:val="22"/>
          <w:szCs w:val="22"/>
          <w:rtl w:val="0"/>
          <w:lang w:val="en-US"/>
        </w:rPr>
      </w:pPr>
      <w:r>
        <w:rPr>
          <w:b w:val="1"/>
          <w:bCs w:val="1"/>
          <w:rtl w:val="0"/>
          <w:lang w:val="en-US"/>
        </w:rPr>
        <w:t>MEG-related:</w:t>
      </w:r>
      <w:r>
        <w:rPr>
          <w:sz w:val="22"/>
          <w:szCs w:val="22"/>
          <w:rtl w:val="0"/>
          <w:lang w:val="en-US"/>
        </w:rPr>
        <w:t xml:space="preserve"> Please read a marker procedure between experiment to total four marker measurements: Pre (1-pretest), 1st break (2-break1), 2nd break (3-break2), Post (</w:t>
      </w:r>
      <w:r>
        <w:rPr>
          <w:rtl w:val="0"/>
          <w:lang w:val="en-US"/>
        </w:rPr>
        <w:t>4-posttest</w:t>
      </w:r>
      <w:r>
        <w:rPr>
          <w:sz w:val="22"/>
          <w:szCs w:val="22"/>
          <w:rtl w:val="0"/>
          <w:lang w:val="en-US"/>
        </w:rPr>
        <w:t>). Naming convention: {Subject Name}_{marker name}, e.g. A0000_1-pretest</w:t>
      </w:r>
    </w:p>
    <w:p>
      <w:pPr>
        <w:pStyle w:val="Body A"/>
        <w:tabs>
          <w:tab w:val="left" w:pos="360"/>
        </w:tabs>
        <w:rPr>
          <w:sz w:val="22"/>
          <w:szCs w:val="22"/>
          <w:rtl w:val="0"/>
          <w:lang w:val="en-US"/>
        </w:rPr>
      </w:pPr>
    </w:p>
    <w:p>
      <w:pPr>
        <w:pStyle w:val="Body A"/>
        <w:tabs>
          <w:tab w:val="left" w:pos="360"/>
        </w:tabs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After Experiment</w:t>
      </w:r>
    </w:p>
    <w:p>
      <w:pPr>
        <w:pStyle w:val="Body A"/>
        <w:numPr>
          <w:ilvl w:val="0"/>
          <w:numId w:val="5"/>
        </w:numPr>
        <w:tabs>
          <w:tab w:val="num" w:pos="360"/>
          <w:tab w:val="clear" w:pos="0"/>
        </w:tabs>
        <w:ind w:left="36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 xml:space="preserve">Please run the CALM procedure on the MEG data following the naming convention: </w:t>
      </w:r>
      <w:r>
        <w:rPr>
          <w:b w:val="0"/>
          <w:bCs w:val="0"/>
        </w:rPr>
        <w:br w:type="textWrapping"/>
      </w:r>
      <w:r>
        <w:rPr>
          <w:b w:val="0"/>
          <w:bCs w:val="0"/>
          <w:rtl w:val="0"/>
          <w:lang w:val="en-US"/>
        </w:rPr>
        <w:t>{Subject Name}_{Experiment Name}-{#}_calm. e.g. A0000_OLDT-1_calm</w:t>
      </w:r>
    </w:p>
    <w:p>
      <w:pPr>
        <w:pStyle w:val="Body A"/>
        <w:numPr>
          <w:ilvl w:val="0"/>
          <w:numId w:val="5"/>
        </w:numPr>
        <w:tabs>
          <w:tab w:val="num" w:pos="360"/>
          <w:tab w:val="clear" w:pos="0"/>
        </w:tabs>
        <w:ind w:left="36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>For each subject, bundle the following files:</w:t>
      </w:r>
    </w:p>
    <w:p>
      <w:pPr>
        <w:pStyle w:val="Body A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>Polhemus headshape</w:t>
      </w:r>
    </w:p>
    <w:p>
      <w:pPr>
        <w:pStyle w:val="Body A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>Polhemus points</w:t>
      </w:r>
    </w:p>
    <w:p>
      <w:pPr>
        <w:pStyle w:val="Body A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>MEG marker files (x4)</w:t>
      </w:r>
    </w:p>
    <w:p>
      <w:pPr>
        <w:pStyle w:val="Body A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>MEG data (x3)</w:t>
      </w:r>
    </w:p>
    <w:p>
      <w:pPr>
        <w:pStyle w:val="Body A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>EDF files (x3)</w:t>
      </w:r>
    </w:p>
    <w:p>
      <w:pPr>
        <w:pStyle w:val="Body A"/>
        <w:numPr>
          <w:ilvl w:val="1"/>
          <w:numId w:val="5"/>
        </w:numPr>
        <w:tabs>
          <w:tab w:val="num" w:pos="720"/>
          <w:tab w:val="clear" w:pos="0"/>
        </w:tabs>
        <w:ind w:left="720" w:hanging="360"/>
        <w:rPr>
          <w:b w:val="1"/>
          <w:bCs w:val="1"/>
          <w:position w:val="0"/>
        </w:rPr>
      </w:pPr>
      <w:r>
        <w:rPr>
          <w:b w:val="0"/>
          <w:bCs w:val="0"/>
          <w:rtl w:val="0"/>
          <w:lang w:val="en-US"/>
        </w:rPr>
        <w:t xml:space="preserve">Eye-tracker text output, </w:t>
      </w:r>
      <w:r>
        <w:rPr>
          <w:b w:val="0"/>
          <w:bCs w:val="0"/>
          <w:i w:val="1"/>
          <w:iCs w:val="1"/>
          <w:rtl w:val="0"/>
          <w:lang w:val="en-US"/>
        </w:rPr>
        <w:t>actual_TRIAL_DataSource</w:t>
      </w:r>
      <w:r>
        <w:rPr>
          <w:b w:val="0"/>
          <w:bCs w:val="0"/>
          <w:i w:val="1"/>
          <w:iCs w:val="1"/>
          <w:rtl w:val="0"/>
          <w:lang w:val="en-US"/>
        </w:rPr>
        <w:t xml:space="preserve">_* </w:t>
      </w:r>
      <w:r>
        <w:rPr>
          <w:b w:val="0"/>
          <w:bCs w:val="0"/>
          <w:rtl w:val="0"/>
          <w:lang w:val="en-US"/>
        </w:rPr>
        <w:t>(x3)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63"/>
          <w:tab w:val="clear" w:pos="0"/>
        </w:tabs>
        <w:ind w:left="66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23"/>
          <w:tab w:val="clear" w:pos="0"/>
        </w:tabs>
        <w:ind w:left="102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43"/>
          <w:tab w:val="clear" w:pos="0"/>
        </w:tabs>
        <w:ind w:left="17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63"/>
          <w:tab w:val="clear" w:pos="0"/>
        </w:tabs>
        <w:ind w:left="246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83"/>
          <w:tab w:val="clear" w:pos="0"/>
        </w:tabs>
        <w:ind w:left="3183" w:hanging="303"/>
      </w:pPr>
      <w:rPr>
        <w:position w:val="0"/>
        <w:sz w:val="22"/>
        <w:szCs w:val="22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663"/>
          <w:tab w:val="clear" w:pos="0"/>
        </w:tabs>
        <w:ind w:left="663" w:hanging="303"/>
      </w:pPr>
      <w:rPr>
        <w:position w:val="0"/>
        <w:sz w:val="22"/>
        <w:szCs w:val="22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23"/>
          <w:tab w:val="clear" w:pos="0"/>
        </w:tabs>
        <w:ind w:left="1023" w:hanging="303"/>
      </w:pPr>
      <w:rPr>
        <w:position w:val="0"/>
        <w:sz w:val="22"/>
        <w:szCs w:val="22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383"/>
          <w:tab w:val="clear" w:pos="0"/>
        </w:tabs>
        <w:ind w:left="1383" w:hanging="303"/>
      </w:pPr>
      <w:rPr>
        <w:position w:val="0"/>
        <w:sz w:val="22"/>
        <w:szCs w:val="22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743"/>
          <w:tab w:val="clear" w:pos="0"/>
        </w:tabs>
        <w:ind w:left="1743" w:hanging="303"/>
      </w:pPr>
      <w:rPr>
        <w:position w:val="0"/>
        <w:sz w:val="22"/>
        <w:szCs w:val="22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03"/>
          <w:tab w:val="clear" w:pos="0"/>
        </w:tabs>
        <w:ind w:left="2103" w:hanging="303"/>
      </w:pPr>
      <w:rPr>
        <w:position w:val="0"/>
        <w:sz w:val="22"/>
        <w:szCs w:val="22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463"/>
          <w:tab w:val="clear" w:pos="0"/>
        </w:tabs>
        <w:ind w:left="2463" w:hanging="303"/>
      </w:pPr>
      <w:rPr>
        <w:position w:val="0"/>
        <w:sz w:val="22"/>
        <w:szCs w:val="22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23"/>
          <w:tab w:val="clear" w:pos="0"/>
        </w:tabs>
        <w:ind w:left="2823" w:hanging="303"/>
      </w:pPr>
      <w:rPr>
        <w:position w:val="0"/>
        <w:sz w:val="22"/>
        <w:szCs w:val="22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183"/>
          <w:tab w:val="clear" w:pos="0"/>
        </w:tabs>
        <w:ind w:left="3183" w:hanging="303"/>
      </w:pPr>
      <w:rPr>
        <w:position w:val="0"/>
        <w:sz w:val="22"/>
        <w:szCs w:val="22"/>
        <w:rtl w:val="0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Numbered">
    <w:name w:val="Numbered"/>
    <w:next w:val="Numbered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