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ist" w:cs="Geist" w:eastAsia="Geist" w:hAnsi="Geist"/>
          <w:b/>
          <w:bCs/>
          <w:color w:val="172C4D"/>
          <w:spacing w:val="40"/>
          <w:sz w:val="22"/>
          <w:szCs w:val="22"/>
        </w:rPr>
        <w:t xml:space="preserve">RADIX</w:t>
      </w:r>
    </w:p>
    <w:p>
      <w:pPr>
        <w:spacing w:after="200"/>
      </w:pPr>
      <w:r>
        <w:rPr>
          <w:rFonts w:ascii="Geist" w:cs="Geist" w:eastAsia="Geist" w:hAnsi="Geist"/>
          <w:b/>
          <w:bCs/>
          <w:color w:val="1976C5"/>
          <w:spacing w:val="20"/>
          <w:sz w:val="16"/>
          <w:szCs w:val="16"/>
        </w:rPr>
        <w:t xml:space="preserve">ESTIMACIÓN DE VALOR DE MERCADO</w:t>
      </w:r>
    </w:p>
    <w:p>
      <w:pPr>
        <w:pBdr>
          <w:bottom w:val="single" w:color="DDE3EC" w:sz="6" w:space="4"/>
        </w:pBdr>
        <w:spacing w:after="200"/>
      </w:pPr>
    </w:p>
    <w:p>
      <w:pPr>
        <w:spacing w:after="100" w:before="200"/>
        <w:jc w:val="left"/>
      </w:pPr>
      <w:r>
        <w:drawing>
          <wp:inline distT="0" distB="0" distL="0" distR="0">
            <wp:extent cx="53340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40"/>
      </w:pPr>
      <w:r>
        <w:rPr>
          <w:rFonts w:ascii="Instrument Serif" w:cs="Instrument Serif" w:eastAsia="Instrument Serif" w:hAnsi="Instrument Serif"/>
          <w:color w:val="172C4D"/>
          <w:sz w:val="40"/>
          <w:szCs w:val="40"/>
        </w:rPr>
        <w:t xml:space="preserve">Arenales 2039, Piso 2° B</w:t>
      </w:r>
    </w:p>
    <w:p>
      <w:pPr>
        <w:spacing w:after="200"/>
      </w:pPr>
      <w:r>
        <w:rPr>
          <w:rFonts w:ascii="Geist" w:cs="Geist" w:eastAsia="Geist" w:hAnsi="Geist"/>
          <w:color w:val="54627C"/>
          <w:sz w:val="20"/>
          <w:szCs w:val="20"/>
        </w:rPr>
        <w:t xml:space="preserve">Recoleta, Ciudad Autónoma de Buenos Aires</w:t>
      </w:r>
    </w:p>
    <w:p>
      <w:pPr>
        <w:spacing w:after="40" w:before="100"/>
      </w:pPr>
      <w:r>
        <w:rPr>
          <w:rFonts w:ascii="Instrument Serif" w:cs="Instrument Serif" w:eastAsia="Instrument Serif" w:hAnsi="Instrument Serif"/>
          <w:color w:val="172C4D"/>
          <w:sz w:val="44"/>
          <w:szCs w:val="44"/>
        </w:rPr>
        <w:t xml:space="preserve">USD 292.000</w:t>
      </w:r>
    </w:p>
    <w:p>
      <w:pPr>
        <w:spacing w:after="300"/>
      </w:pPr>
      <w:r>
        <w:rPr>
          <w:rFonts w:ascii="Geist" w:cs="Geist" w:eastAsia="Geist" w:hAnsi="Geist"/>
          <w:color w:val="7E8FA5"/>
          <w:sz w:val="17"/>
          <w:szCs w:val="17"/>
        </w:rPr>
        <w:t xml:space="preserve">≈ USD 2.891 / m² cubierto  ·  ≈ USD 2.679 / m² total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8"/>
        <w:gridCol w:w="2338"/>
        <w:gridCol w:w="2337"/>
      </w:tblGrid>
      <w:tr>
        <w:tc>
          <w:tcPr>
            <w:tcW w:type="dxa" w:w="2337"/>
            <w:tcBorders>
              <w:top w:val="single" w:color="DDE3EC" w:sz="4"/>
              <w:left w:val="none" w:color="FFFFFF" w:sz="0"/>
              <w:bottom w:val="none" w:color="FFFFFF" w:sz="0"/>
              <w:right w:val="single" w:color="DDE3EC" w:sz="4"/>
            </w:tcBorders>
            <w:tcMar>
              <w:top w:type="dxa" w:w="150"/>
              <w:left w:type="dxa" w:w="0"/>
              <w:bottom w:type="dxa" w:w="0"/>
              <w:right w:type="dxa" w:w="150"/>
            </w:tcMar>
          </w:tcPr>
          <w:p>
            <w:pPr>
              <w:spacing w:after="40"/>
            </w:pPr>
            <w:r>
              <w:rPr>
                <w:rFonts w:ascii="Instrument Serif" w:cs="Instrument Serif" w:eastAsia="Instrument Serif" w:hAnsi="Instrument Serif"/>
                <w:color w:val="172C4D"/>
                <w:sz w:val="26"/>
                <w:szCs w:val="26"/>
              </w:rPr>
              <w:t xml:space="preserve">101 m²</w:t>
            </w:r>
          </w:p>
          <w:p>
            <w:r>
              <w:rPr>
                <w:rFonts w:ascii="Geist" w:cs="Geist" w:eastAsia="Geist" w:hAnsi="Geist"/>
                <w:b/>
                <w:bCs/>
                <w:color w:val="7E8FA5"/>
                <w:spacing w:val="10"/>
                <w:sz w:val="14"/>
                <w:szCs w:val="14"/>
              </w:rPr>
              <w:t xml:space="preserve">CUBIERTOS</w:t>
            </w:r>
          </w:p>
        </w:tc>
        <w:tc>
          <w:tcPr>
            <w:tcW w:type="dxa" w:w="2337"/>
            <w:tcBorders>
              <w:top w:val="single" w:color="DDE3EC" w:sz="4"/>
              <w:left w:val="none" w:color="FFFFFF" w:sz="0"/>
              <w:bottom w:val="none" w:color="FFFFFF" w:sz="0"/>
              <w:right w:val="single" w:color="DDE3EC" w:sz="4"/>
            </w:tcBorders>
            <w:tcMar>
              <w:top w:type="dxa" w:w="150"/>
              <w:left w:type="dxa" w:w="0"/>
              <w:bottom w:type="dxa" w:w="0"/>
              <w:right w:type="dxa" w:w="150"/>
            </w:tcMar>
          </w:tcPr>
          <w:p>
            <w:pPr>
              <w:spacing w:after="40"/>
            </w:pPr>
            <w:r>
              <w:rPr>
                <w:rFonts w:ascii="Instrument Serif" w:cs="Instrument Serif" w:eastAsia="Instrument Serif" w:hAnsi="Instrument Serif"/>
                <w:color w:val="172C4D"/>
                <w:sz w:val="26"/>
                <w:szCs w:val="26"/>
              </w:rPr>
              <w:t xml:space="preserve">109 m²</w:t>
            </w:r>
          </w:p>
          <w:p>
            <w:r>
              <w:rPr>
                <w:rFonts w:ascii="Geist" w:cs="Geist" w:eastAsia="Geist" w:hAnsi="Geist"/>
                <w:b/>
                <w:bCs/>
                <w:color w:val="7E8FA5"/>
                <w:spacing w:val="10"/>
                <w:sz w:val="14"/>
                <w:szCs w:val="14"/>
              </w:rPr>
              <w:t xml:space="preserve">TOTALES</w:t>
            </w:r>
          </w:p>
        </w:tc>
        <w:tc>
          <w:tcPr>
            <w:tcW w:type="dxa" w:w="2337"/>
            <w:tcBorders>
              <w:top w:val="single" w:color="DDE3EC" w:sz="4"/>
              <w:left w:val="none" w:color="FFFFFF" w:sz="0"/>
              <w:bottom w:val="none" w:color="FFFFFF" w:sz="0"/>
              <w:right w:val="single" w:color="DDE3EC" w:sz="4"/>
            </w:tcBorders>
            <w:tcMar>
              <w:top w:type="dxa" w:w="150"/>
              <w:left w:type="dxa" w:w="0"/>
              <w:bottom w:type="dxa" w:w="0"/>
              <w:right w:type="dxa" w:w="150"/>
            </w:tcMar>
          </w:tcPr>
          <w:p>
            <w:pPr>
              <w:spacing w:after="40"/>
            </w:pPr>
            <w:r>
              <w:rPr>
                <w:rFonts w:ascii="Instrument Serif" w:cs="Instrument Serif" w:eastAsia="Instrument Serif" w:hAnsi="Instrument Serif"/>
                <w:color w:val="172C4D"/>
                <w:sz w:val="26"/>
                <w:szCs w:val="26"/>
              </w:rPr>
              <w:t xml:space="preserve">3 + serv.</w:t>
            </w:r>
          </w:p>
          <w:p>
            <w:r>
              <w:rPr>
                <w:rFonts w:ascii="Geist" w:cs="Geist" w:eastAsia="Geist" w:hAnsi="Geist"/>
                <w:b/>
                <w:bCs/>
                <w:color w:val="7E8FA5"/>
                <w:spacing w:val="10"/>
                <w:sz w:val="14"/>
                <w:szCs w:val="14"/>
              </w:rPr>
              <w:t xml:space="preserve">DORMITORIOS</w:t>
            </w:r>
          </w:p>
        </w:tc>
        <w:tc>
          <w:tcPr>
            <w:tcW w:type="dxa" w:w="2337"/>
            <w:tcBorders>
              <w:top w:val="single" w:color="DDE3E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0"/>
              <w:bottom w:type="dxa" w:w="0"/>
              <w:right w:type="dxa" w:w="150"/>
            </w:tcMar>
          </w:tcPr>
          <w:p>
            <w:pPr>
              <w:spacing w:after="40"/>
            </w:pPr>
            <w:r>
              <w:rPr>
                <w:rFonts w:ascii="Instrument Serif" w:cs="Instrument Serif" w:eastAsia="Instrument Serif" w:hAnsi="Instrument Serif"/>
                <w:color w:val="172C4D"/>
                <w:sz w:val="26"/>
                <w:szCs w:val="26"/>
              </w:rPr>
              <w:t xml:space="preserve">2 + toil.</w:t>
            </w:r>
          </w:p>
          <w:p>
            <w:r>
              <w:rPr>
                <w:rFonts w:ascii="Geist" w:cs="Geist" w:eastAsia="Geist" w:hAnsi="Geist"/>
                <w:b/>
                <w:bCs/>
                <w:color w:val="7E8FA5"/>
                <w:spacing w:val="10"/>
                <w:sz w:val="14"/>
                <w:szCs w:val="14"/>
              </w:rPr>
              <w:t xml:space="preserve">BAÑOS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Geist" w:cs="Geist" w:eastAsia="Geist" w:hAnsi="Geist"/>
          <w:b/>
          <w:bCs/>
          <w:color w:val="172C4D"/>
          <w:spacing w:val="40"/>
          <w:sz w:val="18"/>
          <w:szCs w:val="18"/>
        </w:rPr>
        <w:t xml:space="preserve">RADIX</w:t>
      </w:r>
    </w:p>
    <w:p>
      <w:pPr>
        <w:pBdr>
          <w:bottom w:val="single" w:color="DDE3EC" w:sz="6" w:space="4"/>
        </w:pBdr>
        <w:spacing w:after="200"/>
      </w:pPr>
    </w:p>
    <w:p>
      <w:pPr>
        <w:spacing w:after="120" w:before="200"/>
      </w:pPr>
      <w:r>
        <w:rPr>
          <w:rFonts w:ascii="Geist" w:cs="Geist" w:eastAsia="Geist" w:hAnsi="Geist"/>
          <w:b/>
          <w:bCs/>
          <w:color w:val="1976C5"/>
          <w:spacing w:val="20"/>
          <w:sz w:val="17"/>
          <w:szCs w:val="17"/>
        </w:rPr>
        <w:t xml:space="preserve">EL INMUEBLE</w:t>
      </w:r>
    </w:p>
    <w:p>
      <w:pPr>
        <w:spacing w:after="160"/>
      </w:pPr>
      <w:r>
        <w:rPr>
          <w:rFonts w:ascii="Geist" w:cs="Geist" w:eastAsia="Geist" w:hAnsi="Geist"/>
          <w:color w:val="54627C"/>
          <w:sz w:val="21"/>
          <w:szCs w:val="21"/>
        </w:rPr>
        <w:t xml:space="preserve">Unidad de tres dormitorios —uno en suite— más dependencia de servicio, en el 2° piso de un edificio de valor patrimonial sobre calle Arenales, en pleno corazón de Recoleta.</w:t>
      </w:r>
    </w:p>
    <w:p>
      <w:pPr>
        <w:spacing w:after="160"/>
      </w:pPr>
      <w:r>
        <w:rPr>
          <w:rFonts w:ascii="Geist" w:cs="Geist" w:eastAsia="Geist" w:hAnsi="Geist"/>
          <w:color w:val="54627C"/>
          <w:sz w:val="21"/>
          <w:szCs w:val="21"/>
        </w:rPr>
        <w:t xml:space="preserve">La propiedad fue objeto de una refacción integral: pisos de parqué en excelente estado, cocina y baños completamente renovados, carpintería y aberturas de muy buena calidad, calefacción por losa radiante y sin humedades. El resultado es una unidad que, pese a la antigüedad del edificio, funciona y se percibe como una unidad a estrenar, con una calidad constructiva de 10/10.</w:t>
      </w:r>
    </w:p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Ubicación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Arenales 2039, piso 2° B — Recoleta, CABA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Orientación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Sur — buena luminosidad, vista regular (frente)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Superficie cubierta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101 m²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Superficie total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109 m² (balcón de 8 m²)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Ambientes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3 dormitorios (uno en suite) + dependencia de servicio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Baños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2 baños completos + 1 toilette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Living / comedor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Integrado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Cocina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Separada, totalmente renovada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Lavadero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Lavadero y tender independientes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Calefacción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Losa radiante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Estado de conservación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Excelente — refacción integral, sin humedades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Calidad constructiva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9"/>
                <w:szCs w:val="19"/>
              </w:rPr>
              <w:t xml:space="preserve">Escritura. Apto crédito hipotecario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Geist" w:cs="Geist" w:eastAsia="Geist" w:hAnsi="Geist"/>
          <w:b/>
          <w:bCs/>
          <w:color w:val="172C4D"/>
          <w:spacing w:val="40"/>
          <w:sz w:val="18"/>
          <w:szCs w:val="18"/>
        </w:rPr>
        <w:t xml:space="preserve">RADIX</w:t>
      </w:r>
    </w:p>
    <w:p>
      <w:pPr>
        <w:pBdr>
          <w:bottom w:val="single" w:color="DDE3EC" w:sz="6" w:space="4"/>
        </w:pBdr>
        <w:spacing w:after="200"/>
      </w:pPr>
    </w:p>
    <w:p>
      <w:pPr>
        <w:spacing w:after="120" w:before="200"/>
      </w:pPr>
      <w:r>
        <w:rPr>
          <w:rFonts w:ascii="Geist" w:cs="Geist" w:eastAsia="Geist" w:hAnsi="Geist"/>
          <w:b/>
          <w:bCs/>
          <w:color w:val="1976C5"/>
          <w:spacing w:val="20"/>
          <w:sz w:val="17"/>
          <w:szCs w:val="17"/>
        </w:rPr>
        <w:t xml:space="preserve">ENTORNO</w:t>
      </w:r>
    </w:p>
    <w:p>
      <w:pPr>
        <w:spacing w:after="160"/>
      </w:pPr>
      <w:r>
        <w:rPr>
          <w:rFonts w:ascii="Geist" w:cs="Geist" w:eastAsia="Geist" w:hAnsi="Geist"/>
          <w:color w:val="54627C"/>
          <w:sz w:val="21"/>
          <w:szCs w:val="21"/>
        </w:rPr>
        <w:t xml:space="preserve">Arenales 2039 se ubica en pleno corazón de Recoleta, uno de los barrios más tradicionales y mejor conectados de la Ciudad de Buenos Aires, con más de 40 líneas de colectivo, subte y tren en su entorno inmediato.</w:t>
      </w:r>
    </w:p>
    <w:p>
      <w:pPr>
        <w:spacing w:after="160"/>
      </w:pPr>
      <w:r>
        <w:rPr>
          <w:rFonts w:ascii="Geist" w:cs="Geist" w:eastAsia="Geist" w:hAnsi="Geist"/>
          <w:color w:val="54627C"/>
          <w:sz w:val="21"/>
          <w:szCs w:val="21"/>
        </w:rPr>
        <w:t xml:space="preserve">A metros de la Av. Santa Fe —eje comercial y gastronómico— y de la Av. Las Heras, combina la vida de barrio con acceso directo a colegios de referencia (Escuela Superior de Comercio Carlos Pellegrini, Escuela Argentina Modelo), centros de salud, museos y la oferta cultural que distingue a la zona. En sus corredores de mayor categoría —Av. Alvear, Av. Quintana— el valor del m² se sostiene históricamente por encima de USD 3.000, siendo Recoleta, junto con Palermo y Puerto Madero, uno de los tres barrios porteños con los valores más altos de la ciudad.</w:t>
      </w:r>
    </w:p>
    <w:p>
      <w:pPr>
        <w:spacing w:after="120" w:before="200"/>
      </w:pPr>
      <w:r>
        <w:rPr>
          <w:rFonts w:ascii="Geist" w:cs="Geist" w:eastAsia="Geist" w:hAnsi="Geist"/>
          <w:b/>
          <w:bCs/>
          <w:color w:val="1976C5"/>
          <w:spacing w:val="20"/>
          <w:sz w:val="17"/>
          <w:szCs w:val="17"/>
        </w:rPr>
        <w:t xml:space="preserve">FOTOS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100"/>
              <w:left w:type="dxa" w:w="0"/>
              <w:bottom w:type="dxa" w:w="200"/>
              <w:right w:type="dxa" w:w="200"/>
            </w:tcMar>
          </w:tcPr>
          <w:p>
            <w:r>
              <w:drawing>
                <wp:inline distT="0" distB="0" distL="0" distR="0">
                  <wp:extent cx="2476500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Geist" w:cs="Geist" w:eastAsia="Geist" w:hAnsi="Geist"/>
                <w:color w:val="7E8FA5"/>
                <w:sz w:val="14"/>
                <w:szCs w:val="14"/>
              </w:rPr>
              <w:t xml:space="preserve">Cocina</w:t>
            </w:r>
          </w:p>
        </w:tc>
        <w:tc>
          <w:tcPr>
            <w:tcW w:type="dxa" w:w="4675"/>
            <w:tcMar>
              <w:top w:type="dxa" w:w="100"/>
              <w:left w:type="dxa" w:w="0"/>
              <w:bottom w:type="dxa" w:w="200"/>
              <w:right w:type="dxa" w:w="200"/>
            </w:tcMar>
          </w:tcPr>
          <w:p>
            <w:r>
              <w:drawing>
                <wp:inline distT="0" distB="0" distL="0" distR="0">
                  <wp:extent cx="2476500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Geist" w:cs="Geist" w:eastAsia="Geist" w:hAnsi="Geist"/>
                <w:color w:val="7E8FA5"/>
                <w:sz w:val="14"/>
                <w:szCs w:val="14"/>
              </w:rPr>
              <w:t xml:space="preserve">Dormitorio principal</w:t>
            </w:r>
          </w:p>
        </w:tc>
      </w:tr>
      <w:tr>
        <w:tc>
          <w:tcPr>
            <w:tcW w:type="dxa" w:w="4675"/>
            <w:tcMar>
              <w:top w:type="dxa" w:w="100"/>
              <w:left w:type="dxa" w:w="0"/>
              <w:bottom w:type="dxa" w:w="200"/>
              <w:right w:type="dxa" w:w="200"/>
            </w:tcMar>
          </w:tcPr>
          <w:p>
            <w:r>
              <w:drawing>
                <wp:inline distT="0" distB="0" distL="0" distR="0">
                  <wp:extent cx="2476500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Geist" w:cs="Geist" w:eastAsia="Geist" w:hAnsi="Geist"/>
                <w:color w:val="7E8FA5"/>
                <w:sz w:val="14"/>
                <w:szCs w:val="14"/>
              </w:rPr>
              <w:t xml:space="preserve">Dormitorio de servicio</w:t>
            </w:r>
          </w:p>
        </w:tc>
        <w:tc>
          <w:tcPr>
            <w:tcW w:type="dxa" w:w="4675"/>
            <w:tcMar>
              <w:top w:type="dxa" w:w="100"/>
              <w:left w:type="dxa" w:w="0"/>
              <w:bottom w:type="dxa" w:w="200"/>
              <w:right w:type="dxa" w:w="200"/>
            </w:tcMar>
          </w:tcPr>
          <w:p>
            <w:r>
              <w:drawing>
                <wp:inline distT="0" distB="0" distL="0" distR="0">
                  <wp:extent cx="2476500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Geist" w:cs="Geist" w:eastAsia="Geist" w:hAnsi="Geist"/>
                <w:color w:val="7E8FA5"/>
                <w:sz w:val="14"/>
                <w:szCs w:val="14"/>
              </w:rPr>
              <w:t xml:space="preserve">Toilette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Geist" w:cs="Geist" w:eastAsia="Geist" w:hAnsi="Geist"/>
          <w:b/>
          <w:bCs/>
          <w:color w:val="172C4D"/>
          <w:spacing w:val="40"/>
          <w:sz w:val="18"/>
          <w:szCs w:val="18"/>
        </w:rPr>
        <w:t xml:space="preserve">RADIX</w:t>
      </w:r>
    </w:p>
    <w:p>
      <w:pPr>
        <w:pBdr>
          <w:bottom w:val="single" w:color="DDE3EC" w:sz="6" w:space="4"/>
        </w:pBdr>
        <w:spacing w:after="200"/>
      </w:pPr>
    </w:p>
    <w:p>
      <w:pPr>
        <w:spacing w:after="120" w:before="200"/>
      </w:pPr>
      <w:r>
        <w:rPr>
          <w:rFonts w:ascii="Geist" w:cs="Geist" w:eastAsia="Geist" w:hAnsi="Geist"/>
          <w:b/>
          <w:bCs/>
          <w:color w:val="1976C5"/>
          <w:spacing w:val="20"/>
          <w:sz w:val="17"/>
          <w:szCs w:val="17"/>
        </w:rPr>
        <w:t xml:space="preserve">ANÁLISIS COMPARATIVO DE MERCADO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2100"/>
        <w:gridCol w:w="175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7E8FA5"/>
                <w:spacing w:val="10"/>
                <w:sz w:val="13"/>
                <w:szCs w:val="13"/>
              </w:rPr>
              <w:t xml:space="preserve">REFERENCIA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7E8FA5"/>
                <w:spacing w:val="10"/>
                <w:sz w:val="13"/>
                <w:szCs w:val="13"/>
              </w:rPr>
              <w:t xml:space="preserve">PERFIL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7E8FA5"/>
                <w:spacing w:val="10"/>
                <w:sz w:val="13"/>
                <w:szCs w:val="13"/>
              </w:rPr>
              <w:t xml:space="preserve">PRECIO / VALOR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7E8FA5"/>
                <w:spacing w:val="10"/>
                <w:sz w:val="13"/>
                <w:szCs w:val="13"/>
              </w:rPr>
              <w:t xml:space="preserve">FUENTE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7"/>
                <w:szCs w:val="17"/>
              </w:rPr>
              <w:t xml:space="preserve">Arenales 2800, 3° piso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 w:val="false"/>
                <w:bCs w:val="false"/>
                <w:color w:val="54627C"/>
                <w:sz w:val="17"/>
                <w:szCs w:val="17"/>
              </w:rPr>
              <w:t xml:space="preserve">3 amb., reciclado impecable, ~159 m² tot.*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7"/>
                <w:szCs w:val="17"/>
              </w:rPr>
              <w:t xml:space="preserve">USD 280.000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 w:val="false"/>
                <w:bCs w:val="false"/>
                <w:color w:val="54627C"/>
                <w:sz w:val="17"/>
                <w:szCs w:val="17"/>
              </w:rPr>
              <w:t xml:space="preserve">Argenprop,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7"/>
                <w:szCs w:val="17"/>
              </w:rPr>
              <w:t xml:space="preserve">Promedio de zona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 w:val="false"/>
                <w:bCs w:val="false"/>
                <w:color w:val="54627C"/>
                <w:sz w:val="17"/>
                <w:szCs w:val="17"/>
              </w:rPr>
              <w:t xml:space="preserve">Usados, buen estado, Recoleta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7"/>
                <w:szCs w:val="17"/>
              </w:rPr>
              <w:t xml:space="preserve">USD 2.800 – 3.500 /m²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 w:val="false"/>
                <w:bCs w:val="false"/>
                <w:color w:val="54627C"/>
                <w:sz w:val="17"/>
                <w:szCs w:val="17"/>
              </w:rPr>
              <w:t xml:space="preserve">Relevamiento sectorial,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7"/>
                <w:szCs w:val="17"/>
              </w:rPr>
              <w:t xml:space="preserve">Promedio general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 w:val="false"/>
                <w:bCs w:val="false"/>
                <w:color w:val="54627C"/>
                <w:sz w:val="17"/>
                <w:szCs w:val="17"/>
              </w:rPr>
              <w:t xml:space="preserve">Todo tipo de unidades, Recoleta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/>
                <w:bCs/>
                <w:color w:val="172C4D"/>
                <w:sz w:val="17"/>
                <w:szCs w:val="17"/>
              </w:rPr>
              <w:t xml:space="preserve">USD 2.459 /m²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Geist" w:cs="Geist" w:eastAsia="Geist" w:hAnsi="Geist"/>
                <w:b w:val="false"/>
                <w:bCs w:val="false"/>
                <w:color w:val="54627C"/>
                <w:sz w:val="17"/>
                <w:szCs w:val="17"/>
              </w:rPr>
              <w:t xml:space="preserve">Mudafy, ene. 2026</w:t>
            </w:r>
          </w:p>
        </w:tc>
      </w:tr>
    </w:tbl>
    <w:p>
      <w:pPr>
        <w:spacing w:after="200" w:before="100"/>
      </w:pPr>
      <w:r>
        <w:rPr>
          <w:rFonts w:ascii="Geist" w:cs="Geist" w:eastAsia="Geist" w:hAnsi="Geist"/>
          <w:i/>
          <w:iCs/>
          <w:color w:val="7E8FA5"/>
          <w:sz w:val="14"/>
          <w:szCs w:val="14"/>
        </w:rPr>
        <w:t xml:space="preserve">*Superficie total del comparable incluye semicubiertos; su incidencia por m² no es directamente comparable con la unidad tasada. Valores relevados en portales públicos y fuentes sectoriales a agosto de 2026, sujetos a variación y verificación directa antes de su uso.</w:t>
      </w:r>
    </w:p>
    <w:p>
      <w:pPr>
        <w:spacing w:after="120" w:before="200"/>
      </w:pPr>
      <w:r>
        <w:rPr>
          <w:rFonts w:ascii="Geist" w:cs="Geist" w:eastAsia="Geist" w:hAnsi="Geist"/>
          <w:b/>
          <w:bCs/>
          <w:color w:val="1976C5"/>
          <w:spacing w:val="20"/>
          <w:sz w:val="17"/>
          <w:szCs w:val="17"/>
        </w:rPr>
        <w:t xml:space="preserve">AJUSTES SOBRE EL VALOR DE ZONA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100"/>
              <w:left w:type="dxa" w:w="0"/>
              <w:bottom w:type="dxa" w:w="0"/>
              <w:right w:type="dxa" w:w="200"/>
            </w:tcMar>
          </w:tcPr>
          <w:p>
            <w:pPr>
              <w:spacing w:after="100"/>
            </w:pPr>
            <w:r>
              <w:rPr>
                <w:rFonts w:ascii="Geist" w:cs="Geist" w:eastAsia="Geist" w:hAnsi="Geist"/>
                <w:b/>
                <w:bCs/>
                <w:color w:val="3FA66B"/>
                <w:sz w:val="18"/>
                <w:szCs w:val="18"/>
              </w:rPr>
              <w:t xml:space="preserve">+  </w:t>
            </w:r>
            <w:r>
              <w:rPr>
                <w:rFonts w:ascii="Geist" w:cs="Geist" w:eastAsia="Geist" w:hAnsi="Geist"/>
                <w:color w:val="54627C"/>
                <w:sz w:val="18"/>
                <w:szCs w:val="18"/>
              </w:rPr>
              <w:t xml:space="preserve">Refacción integral, calidad constructiva 10/10</w:t>
            </w:r>
          </w:p>
          <w:p>
            <w:pPr>
              <w:spacing w:after="100"/>
            </w:pPr>
            <w:r>
              <w:rPr>
                <w:rFonts w:ascii="Geist" w:cs="Geist" w:eastAsia="Geist" w:hAnsi="Geist"/>
                <w:b/>
                <w:bCs/>
                <w:color w:val="3FA66B"/>
                <w:sz w:val="18"/>
                <w:szCs w:val="18"/>
              </w:rPr>
              <w:t xml:space="preserve">+  </w:t>
            </w:r>
            <w:r>
              <w:rPr>
                <w:rFonts w:ascii="Geist" w:cs="Geist" w:eastAsia="Geist" w:hAnsi="Geist"/>
                <w:color w:val="54627C"/>
                <w:sz w:val="18"/>
                <w:szCs w:val="18"/>
              </w:rPr>
              <w:t xml:space="preserve">Calefacción por losa radiante, sin humedades</w:t>
            </w:r>
          </w:p>
        </w:tc>
        <w:tc>
          <w:tcPr>
            <w:tcW w:type="dxa" w:w="4675"/>
            <w:tcMar>
              <w:top w:type="dxa" w:w="100"/>
              <w:left w:type="dxa" w:w="0"/>
              <w:bottom w:type="dxa" w:w="0"/>
              <w:right w:type="dxa" w:w="200"/>
            </w:tcMar>
          </w:tcPr>
          <w:p>
            <w:pPr>
              <w:spacing w:after="100"/>
            </w:pPr>
            <w:r>
              <w:rPr>
                <w:rFonts w:ascii="Geist" w:cs="Geist" w:eastAsia="Geist" w:hAnsi="Geist"/>
                <w:b/>
                <w:bCs/>
                <w:color w:val="C45A5A"/>
                <w:sz w:val="18"/>
                <w:szCs w:val="18"/>
              </w:rPr>
              <w:t xml:space="preserve">−  </w:t>
            </w:r>
            <w:r>
              <w:rPr>
                <w:rFonts w:ascii="Geist" w:cs="Geist" w:eastAsia="Geist" w:hAnsi="Geist"/>
                <w:color w:val="54627C"/>
                <w:sz w:val="18"/>
                <w:szCs w:val="18"/>
              </w:rPr>
              <w:t xml:space="preserve">Piso 2° — no incide como lo haría un piso alto</w:t>
            </w:r>
          </w:p>
          <w:p>
            <w:pPr>
              <w:spacing w:after="100"/>
            </w:pPr>
            <w:r>
              <w:rPr>
                <w:rFonts w:ascii="Geist" w:cs="Geist" w:eastAsia="Geist" w:hAnsi="Geist"/>
                <w:b/>
                <w:bCs/>
                <w:color w:val="C45A5A"/>
                <w:sz w:val="18"/>
                <w:szCs w:val="18"/>
              </w:rPr>
              <w:t xml:space="preserve">−  </w:t>
            </w:r>
            <w:r>
              <w:rPr>
                <w:rFonts w:ascii="Geist" w:cs="Geist" w:eastAsia="Geist" w:hAnsi="Geist"/>
                <w:color w:val="54627C"/>
                <w:sz w:val="18"/>
                <w:szCs w:val="18"/>
              </w:rPr>
              <w:t xml:space="preserve">Orientación sur, vista regular</w:t>
            </w:r>
          </w:p>
        </w:tc>
      </w:tr>
    </w:tbl>
    <w:p>
      <w:pPr>
        <w:pBdr>
          <w:top w:val="single" w:color="DDE3EC" w:sz="6" w:space="8"/>
        </w:pBdr>
        <w:spacing w:before="300"/>
      </w:pPr>
    </w:p>
    <w:p>
      <w:pPr>
        <w:spacing w:after="40" w:before="200"/>
      </w:pPr>
      <w:r>
        <w:rPr>
          <w:rFonts w:ascii="Instrument Serif" w:cs="Instrument Serif" w:eastAsia="Instrument Serif" w:hAnsi="Instrument Serif"/>
          <w:color w:val="172C4D"/>
          <w:sz w:val="38"/>
          <w:szCs w:val="38"/>
        </w:rPr>
        <w:t xml:space="preserve">USD 292.000</w:t>
      </w:r>
    </w:p>
    <w:p>
      <w:pPr>
        <w:pBdr>
          <w:bottom w:val="single" w:color="DDE3EC" w:sz="6" w:space="8"/>
        </w:pBdr>
        <w:spacing w:after="100" w:before="0"/>
      </w:pPr>
      <w:r>
        <w:rPr>
          <w:rFonts w:ascii="Geist" w:cs="Geist" w:eastAsia="Geist" w:hAnsi="Geist"/>
          <w:color w:val="54627C"/>
          <w:sz w:val="17"/>
          <w:szCs w:val="17"/>
        </w:rPr>
        <w:t xml:space="preserve">≈ USD 2.891 /m² cubierto — dentro del rango de mercado relevado para la zona y el perfil de la unidad (método comparativo directo).</w:t>
      </w:r>
    </w:p>
    <w:p>
      <w:pPr>
        <w:spacing w:after="120" w:before="200"/>
      </w:pPr>
      <w:r>
        <w:rPr>
          <w:rFonts w:ascii="Geist" w:cs="Geist" w:eastAsia="Geist" w:hAnsi="Geist"/>
          <w:b/>
          <w:bCs/>
          <w:color w:val="1976C5"/>
          <w:spacing w:val="20"/>
          <w:sz w:val="17"/>
          <w:szCs w:val="17"/>
        </w:rPr>
        <w:t xml:space="preserve">COMPRADOR IDEAL</w:t>
      </w:r>
    </w:p>
    <w:p>
      <w:pPr>
        <w:spacing w:after="160"/>
      </w:pPr>
      <w:r>
        <w:rPr>
          <w:rFonts w:ascii="Geist" w:cs="Geist" w:eastAsia="Geist" w:hAnsi="Geist"/>
          <w:color w:val="54627C"/>
          <w:sz w:val="21"/>
          <w:szCs w:val="21"/>
        </w:rPr>
        <w:t xml:space="preserve">Familia joven, poco numerosa, que prioriza ubicación consolidada y terminaciones de alta calidad por sobre piso alto o vista panorámica.</w:t>
      </w:r>
    </w:p>
    <w:p>
      <w:pPr>
        <w:spacing w:after="120" w:before="200"/>
      </w:pPr>
      <w:r>
        <w:rPr>
          <w:rFonts w:ascii="Geist" w:cs="Geist" w:eastAsia="Geist" w:hAnsi="Geist"/>
          <w:b/>
          <w:bCs/>
          <w:color w:val="1976C5"/>
          <w:spacing w:val="20"/>
          <w:sz w:val="17"/>
          <w:szCs w:val="17"/>
        </w:rPr>
        <w:t xml:space="preserve">OBSERVACIONES GENERALES</w:t>
      </w:r>
    </w:p>
    <w:p>
      <w:pPr>
        <w:spacing w:after="160"/>
      </w:pPr>
      <w:r>
        <w:rPr>
          <w:rFonts w:ascii="Geist" w:cs="Geist" w:eastAsia="Geist" w:hAnsi="Geist"/>
          <w:color w:val="54627C"/>
          <w:sz w:val="21"/>
          <w:szCs w:val="21"/>
        </w:rPr>
        <w:t xml:space="preserve">Unidad impecable (10/10). Único punto de mejora sugerido: unificar los zócalos existentes para terminar de armonizar con el resto de la refacción. No corresponde valorarla con los mismos parámetros que una unidad equivalente ubicada de un 5° piso hacia arriba — considerando esa salvedad y la antigüedad del edificio, es una unidad excelente con una muy buena relación entre calidad y precio.</w:t>
      </w:r>
    </w:p>
    <w:p>
      <w:pPr>
        <w:pBdr>
          <w:top w:val="single" w:color="DDE3EC" w:sz="6" w:space="8"/>
        </w:pBdr>
        <w:spacing w:after="0" w:before="300"/>
      </w:pPr>
    </w:p>
    <w:p>
      <w:pPr>
        <w:spacing w:after="20" w:before="200"/>
      </w:pPr>
      <w:r>
        <w:rPr>
          <w:rFonts w:ascii="Instrument Serif" w:cs="Instrument Serif" w:eastAsia="Instrument Serif" w:hAnsi="Instrument Serif"/>
          <w:color w:val="172C4D"/>
          <w:sz w:val="26"/>
          <w:szCs w:val="26"/>
        </w:rPr>
        <w:t xml:space="preserve">Teodoro Rauch Uriburu</w:t>
      </w:r>
    </w:p>
    <w:p>
      <w:pPr>
        <w:spacing w:after="20"/>
      </w:pPr>
      <w:r>
        <w:rPr>
          <w:rFonts w:ascii="Geist" w:cs="Geist" w:eastAsia="Geist" w:hAnsi="Geist"/>
          <w:color w:val="54627C"/>
          <w:sz w:val="17"/>
          <w:szCs w:val="17"/>
        </w:rPr>
        <w:t xml:space="preserve">RADIX Consultores Inmobiliarios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000"/>
      </w:tblGrid>
      <w:tr>
        <w:tc>
          <w:tcPr>
            <w:tcW w:type="dxa" w:w="6350"/>
            <w:tcMar>
              <w:top w:type="dxa" w:w="0"/>
              <w:left w:type="dxa" w:w="0"/>
              <w:bottom w:type="dxa" w:w="200"/>
              <w:right w:type="dxa" w:w="0"/>
            </w:tcMar>
          </w:tcPr>
          <w:p>
            <w:r>
              <w:rPr>
                <w:rFonts w:ascii="Geist" w:cs="Geist" w:eastAsia="Geist" w:hAnsi="Geist"/>
                <w:color w:val="54627C"/>
                <w:sz w:val="17"/>
                <w:szCs w:val="17"/>
              </w:rPr>
              <w:t xml:space="preserve">+54 3875 77 6071 · teorauch@gmail.com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20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Geist" w:cs="Geist" w:eastAsia="Geist" w:hAnsi="Geist"/>
                <w:color w:val="7E8FA5"/>
                <w:sz w:val="17"/>
                <w:szCs w:val="17"/>
              </w:rPr>
              <w:t xml:space="preserve">Agosto 2026</w:t>
            </w:r>
          </w:p>
        </w:tc>
      </w:tr>
    </w:tbl>
    <w:p>
      <w:r>
        <w:rPr>
          <w:rFonts w:ascii="Geist" w:cs="Geist" w:eastAsia="Geist" w:hAnsi="Geist"/>
          <w:i/>
          <w:iCs/>
          <w:color w:val="7E8FA5"/>
          <w:sz w:val="13"/>
          <w:szCs w:val="13"/>
        </w:rPr>
        <w:t xml:space="preserve">Este informe constituye una estimación de valor de mercado elaborada por RADIX Consultores Inmobiliarios en base a relevamiento comparativo e inspección de la unidad mediante fotografías y datos aportados por el propietario. No constituye una tasación con validez legal, bancaria o judicial —la cual requiere de un profesional matriculado actuando conforme la normativa vigente— ni reemplaza la verificación registral y catastral correspondiente.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5aad000829abeb25825b33e94ffd66f8679f32.jpg"/><Relationship Id="rId8" Type="http://schemas.openxmlformats.org/officeDocument/2006/relationships/image" Target="media/cb0585402a4e6ff1488d6d508f25a9ea3aa4092e.jpg"/><Relationship Id="rId9" Type="http://schemas.openxmlformats.org/officeDocument/2006/relationships/image" Target="media/447b6d5b0999e7a3981a91c3a74e74b63bc36ba5.jpg"/><Relationship Id="rId10" Type="http://schemas.openxmlformats.org/officeDocument/2006/relationships/image" Target="media/2030b287c60c7687dbd42c8ee668519efc0b718a.jpg"/><Relationship Id="rId11" Type="http://schemas.openxmlformats.org/officeDocument/2006/relationships/image" Target="media/b985a27c82fc30a057e9777bf5801da7a0ff2d11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2026-08-10T14:07:22.691Z</dcterms:created>
  <dcterms:modified xsi:type="dcterms:W3CDTF">2026-08-10T14:07:22.691Z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