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F7" w:rsidRDefault="00AD40F7" w:rsidP="00AD40F7"/>
    <w:p w:rsidR="00AD40F7" w:rsidRPr="00AD40F7" w:rsidRDefault="00AD40F7" w:rsidP="00AD40F7">
      <w:pPr>
        <w:pStyle w:val="Dokumenttitel"/>
        <w:rPr>
          <w:rFonts w:ascii="Arial" w:hAnsi="Arial" w:cs="Arial"/>
          <w:bCs/>
          <w:kern w:val="32"/>
          <w:sz w:val="32"/>
          <w:szCs w:val="32"/>
        </w:rPr>
      </w:pPr>
      <w:r w:rsidRPr="00AD40F7">
        <w:rPr>
          <w:rFonts w:ascii="Arial" w:hAnsi="Arial" w:cs="Arial"/>
          <w:bCs/>
          <w:kern w:val="32"/>
          <w:sz w:val="32"/>
          <w:szCs w:val="32"/>
        </w:rPr>
        <w:t>Handläggning av patient på akuten med tecken till Övre Gastrointestinal Blödning utan cirkulatorisk påverkan</w:t>
      </w:r>
    </w:p>
    <w:p w:rsidR="00AD40F7" w:rsidRDefault="00AD40F7" w:rsidP="00AD40F7"/>
    <w:p w:rsidR="00AD40F7" w:rsidRDefault="00AD40F7" w:rsidP="00AD40F7">
      <w:r>
        <w:rPr>
          <w:i/>
          <w:iCs/>
        </w:rPr>
        <w:t>För handläggning av cirkulatoriskt påverkad patient hänvisas</w:t>
      </w:r>
      <w:r>
        <w:t xml:space="preserve"> </w:t>
      </w:r>
      <w:r>
        <w:rPr>
          <w:i/>
          <w:iCs/>
        </w:rPr>
        <w:t>till annat PM/behandlingsprogram för Stockholms läns landsting.</w:t>
      </w:r>
    </w:p>
    <w:p w:rsidR="00AD40F7" w:rsidRDefault="00AD40F7" w:rsidP="00AD40F7"/>
    <w:p w:rsidR="00AD40F7" w:rsidRDefault="00AD40F7" w:rsidP="00AD40F7">
      <w:r>
        <w:rPr>
          <w:b/>
          <w:bCs/>
        </w:rPr>
        <w:t xml:space="preserve">Syfte: </w:t>
      </w:r>
      <w:r>
        <w:t>Öka den polikliniska handläggningen av patienter med tecken till övre GI-blödning och därmed bättre utnyttja Endoskopicentrums resurser.</w:t>
      </w:r>
    </w:p>
    <w:p w:rsidR="00AD40F7" w:rsidRDefault="00AD40F7" w:rsidP="00AD40F7"/>
    <w:p w:rsidR="00AD40F7" w:rsidRDefault="00AD40F7" w:rsidP="00AD40F7">
      <w:r>
        <w:rPr>
          <w:b/>
          <w:bCs/>
        </w:rPr>
        <w:t>Inklusionskriterier:</w:t>
      </w:r>
    </w:p>
    <w:p w:rsidR="00AD40F7" w:rsidRDefault="00AD40F7" w:rsidP="00AD40F7">
      <w:r>
        <w:rPr>
          <w:i/>
          <w:iCs/>
        </w:rPr>
        <w:t>Hematemes</w:t>
      </w:r>
      <w:r>
        <w:t xml:space="preserve">= blodtillblandad kräkning oavsett färg (röd-svart) &amp; </w:t>
      </w:r>
      <w:r>
        <w:rPr>
          <w:i/>
          <w:iCs/>
        </w:rPr>
        <w:t>melena</w:t>
      </w:r>
      <w:r>
        <w:t xml:space="preserve"> (svartfärgad avföring) </w:t>
      </w:r>
    </w:p>
    <w:p w:rsidR="00AD40F7" w:rsidRDefault="00AD40F7" w:rsidP="00AD40F7"/>
    <w:p w:rsidR="00AD40F7" w:rsidRDefault="00AD40F7" w:rsidP="00AD40F7">
      <w:r>
        <w:rPr>
          <w:b/>
          <w:bCs/>
          <w:u w:val="single"/>
        </w:rPr>
        <w:t>Handläggning på kirurgakuten:</w:t>
      </w:r>
      <w:r>
        <w:tab/>
      </w:r>
      <w:r>
        <w:tab/>
      </w:r>
    </w:p>
    <w:p w:rsidR="00AD40F7" w:rsidRDefault="00AD40F7" w:rsidP="00AD40F7"/>
    <w:p w:rsidR="00AD40F7" w:rsidRDefault="00AD40F7" w:rsidP="00AD40F7">
      <w:pPr>
        <w:numPr>
          <w:ilvl w:val="0"/>
          <w:numId w:val="5"/>
        </w:numPr>
        <w:tabs>
          <w:tab w:val="left" w:pos="1304"/>
        </w:tabs>
        <w:suppressAutoHyphens/>
      </w:pPr>
      <w:r>
        <w:rPr>
          <w:i/>
          <w:iCs/>
        </w:rPr>
        <w:t>Vitalparametrar + EKG</w:t>
      </w:r>
      <w:r>
        <w:t xml:space="preserve"> </w:t>
      </w:r>
    </w:p>
    <w:p w:rsidR="00AD40F7" w:rsidRDefault="00AD40F7" w:rsidP="00AD40F7">
      <w:pPr>
        <w:numPr>
          <w:ilvl w:val="0"/>
          <w:numId w:val="5"/>
        </w:numPr>
        <w:tabs>
          <w:tab w:val="left" w:pos="1304"/>
        </w:tabs>
        <w:suppressAutoHyphens/>
      </w:pPr>
      <w:r>
        <w:rPr>
          <w:i/>
          <w:iCs/>
        </w:rPr>
        <w:t>Anamnes och status</w:t>
      </w:r>
      <w:r>
        <w:t xml:space="preserve"> där följande specifika anamnestiska och statusuppgifter behövs för att kunna använda GBS: förekomst av 1) melena, 2) synkope i samband med insjuknandet, 3) anamnes och/eller status talandes för leversjukdom (ex kända esofagusvaricer, typiska leverstigmata), </w:t>
      </w:r>
    </w:p>
    <w:p w:rsidR="00AD40F7" w:rsidRDefault="00AD40F7" w:rsidP="00AD40F7">
      <w:pPr>
        <w:ind w:left="720"/>
      </w:pPr>
      <w:r>
        <w:t>4) anamnes, status eller EKG talandes för hjärtsvikt.</w:t>
      </w:r>
    </w:p>
    <w:p w:rsidR="00AD40F7" w:rsidRDefault="00AD40F7" w:rsidP="00AD40F7">
      <w:pPr>
        <w:numPr>
          <w:ilvl w:val="0"/>
          <w:numId w:val="5"/>
        </w:numPr>
        <w:tabs>
          <w:tab w:val="left" w:pos="1304"/>
        </w:tabs>
        <w:suppressAutoHyphens/>
      </w:pPr>
      <w:r>
        <w:rPr>
          <w:i/>
          <w:iCs/>
        </w:rPr>
        <w:t>Hematemesprover</w:t>
      </w:r>
      <w:r>
        <w:t xml:space="preserve"> (som inkluderar P-urea)</w:t>
      </w:r>
      <w:r>
        <w:tab/>
      </w:r>
    </w:p>
    <w:p w:rsidR="00AD40F7" w:rsidRDefault="004C1B68" w:rsidP="00AD40F7"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113030</wp:posOffset>
            </wp:positionV>
            <wp:extent cx="3306445" cy="3509010"/>
            <wp:effectExtent l="19050" t="0" r="8255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50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/>
    <w:p w:rsidR="00AD40F7" w:rsidRDefault="00AD40F7" w:rsidP="00AD40F7">
      <w:pPr>
        <w:rPr>
          <w:b/>
          <w:bCs/>
          <w:u w:val="single"/>
        </w:rPr>
      </w:pPr>
    </w:p>
    <w:p w:rsidR="00AD40F7" w:rsidRDefault="00AD40F7" w:rsidP="00AD40F7">
      <w:pPr>
        <w:rPr>
          <w:b/>
          <w:bCs/>
          <w:u w:val="single"/>
        </w:rPr>
      </w:pPr>
    </w:p>
    <w:p w:rsidR="00AD40F7" w:rsidRDefault="00AD40F7" w:rsidP="00AD40F7">
      <w:pPr>
        <w:rPr>
          <w:b/>
          <w:bCs/>
          <w:u w:val="single"/>
        </w:rPr>
      </w:pPr>
    </w:p>
    <w:p w:rsidR="00AD40F7" w:rsidRDefault="00AD40F7" w:rsidP="00AD40F7">
      <w:pPr>
        <w:rPr>
          <w:b/>
          <w:bCs/>
          <w:u w:val="single"/>
        </w:rPr>
      </w:pPr>
    </w:p>
    <w:p w:rsidR="00AD40F7" w:rsidRDefault="00AD40F7" w:rsidP="00AD40F7">
      <w:pPr>
        <w:rPr>
          <w:b/>
          <w:bCs/>
          <w:u w:val="single"/>
        </w:rPr>
      </w:pPr>
    </w:p>
    <w:p w:rsidR="00AD40F7" w:rsidRDefault="00AD40F7" w:rsidP="00AD40F7">
      <w:pPr>
        <w:rPr>
          <w:b/>
          <w:bCs/>
          <w:u w:val="single"/>
        </w:rPr>
      </w:pPr>
    </w:p>
    <w:p w:rsidR="00AD40F7" w:rsidRDefault="00AD40F7" w:rsidP="00AD40F7">
      <w:pPr>
        <w:rPr>
          <w:b/>
          <w:bCs/>
          <w:u w:val="single"/>
        </w:rPr>
      </w:pPr>
    </w:p>
    <w:p w:rsidR="00AD40F7" w:rsidRDefault="00AD40F7" w:rsidP="00AD40F7">
      <w:r>
        <w:rPr>
          <w:b/>
          <w:bCs/>
          <w:u w:val="single"/>
        </w:rPr>
        <w:t xml:space="preserve">Om GBS=0 och följande kriterier uppfylls </w:t>
      </w:r>
      <w:r>
        <w:rPr>
          <w:b/>
          <w:bCs/>
          <w:i/>
          <w:iCs/>
          <w:u w:val="single"/>
        </w:rPr>
        <w:t xml:space="preserve">kan </w:t>
      </w:r>
      <w:r>
        <w:rPr>
          <w:b/>
          <w:bCs/>
          <w:u w:val="single"/>
        </w:rPr>
        <w:t>patienten skötas polikliniskt</w:t>
      </w:r>
    </w:p>
    <w:p w:rsidR="00AD40F7" w:rsidRDefault="00AD40F7" w:rsidP="00AD40F7">
      <w:pPr>
        <w:numPr>
          <w:ilvl w:val="0"/>
          <w:numId w:val="6"/>
        </w:numPr>
        <w:tabs>
          <w:tab w:val="left" w:pos="1304"/>
        </w:tabs>
        <w:suppressAutoHyphens/>
      </w:pPr>
      <w:r>
        <w:t xml:space="preserve">ingen annan sjukdom/omständighet (ex Waran) föreligger hos patienten som i sig kräver inneliggande </w:t>
      </w:r>
    </w:p>
    <w:p w:rsidR="00AD40F7" w:rsidRDefault="00AD40F7" w:rsidP="00AD40F7">
      <w:pPr>
        <w:ind w:left="720"/>
      </w:pPr>
      <w:r>
        <w:t>vård</w:t>
      </w:r>
    </w:p>
    <w:p w:rsidR="00AD40F7" w:rsidRDefault="00AD40F7" w:rsidP="00AD40F7">
      <w:pPr>
        <w:numPr>
          <w:ilvl w:val="0"/>
          <w:numId w:val="6"/>
        </w:numPr>
        <w:tabs>
          <w:tab w:val="left" w:pos="1304"/>
        </w:tabs>
        <w:suppressAutoHyphens/>
      </w:pPr>
      <w:r>
        <w:t xml:space="preserve">ingen misstanke om demens, kognitiv svikt, kraftig alkoholpåverkan eller annat tillstånd där </w:t>
      </w:r>
    </w:p>
    <w:p w:rsidR="00AD40F7" w:rsidRDefault="00AD40F7" w:rsidP="00AD40F7">
      <w:pPr>
        <w:ind w:left="720"/>
      </w:pPr>
      <w:r>
        <w:t xml:space="preserve">innebörden av given läkarinformation </w:t>
      </w:r>
      <w:r>
        <w:rPr>
          <w:i/>
          <w:iCs/>
        </w:rPr>
        <w:t xml:space="preserve">inte </w:t>
      </w:r>
      <w:r>
        <w:t>kan förväntas förstås och accepteras.</w:t>
      </w:r>
    </w:p>
    <w:p w:rsidR="00AD40F7" w:rsidRDefault="00AD40F7" w:rsidP="00AD40F7"/>
    <w:p w:rsidR="00AD40F7" w:rsidRDefault="00AD40F7" w:rsidP="00AD40F7">
      <w:r>
        <w:rPr>
          <w:b/>
          <w:bCs/>
          <w:u w:val="single"/>
        </w:rPr>
        <w:t>Vid hemgång från akuten</w:t>
      </w:r>
    </w:p>
    <w:p w:rsidR="00AD40F7" w:rsidRDefault="00AD40F7" w:rsidP="00AD40F7">
      <w:pPr>
        <w:numPr>
          <w:ilvl w:val="0"/>
          <w:numId w:val="7"/>
        </w:numPr>
        <w:tabs>
          <w:tab w:val="left" w:pos="1304"/>
        </w:tabs>
        <w:suppressAutoHyphens/>
      </w:pPr>
      <w:r>
        <w:t>Noggrann info till patient som ska söka igen om nya tecken till övre GI-blödning.</w:t>
      </w:r>
    </w:p>
    <w:p w:rsidR="00AD40F7" w:rsidRDefault="00AD40F7" w:rsidP="00AD40F7">
      <w:pPr>
        <w:numPr>
          <w:ilvl w:val="0"/>
          <w:numId w:val="7"/>
        </w:numPr>
        <w:tabs>
          <w:tab w:val="left" w:pos="1304"/>
        </w:tabs>
        <w:suppressAutoHyphens/>
      </w:pPr>
      <w:r>
        <w:t>Ingen PPI eller H2-blockare förskrivs i väntan på gastroskopi</w:t>
      </w:r>
    </w:p>
    <w:p w:rsidR="00AD40F7" w:rsidRDefault="00AD40F7" w:rsidP="00AD40F7">
      <w:pPr>
        <w:numPr>
          <w:ilvl w:val="0"/>
          <w:numId w:val="7"/>
        </w:numPr>
        <w:tabs>
          <w:tab w:val="left" w:pos="1304"/>
        </w:tabs>
        <w:suppressAutoHyphens/>
        <w:rPr>
          <w:szCs w:val="22"/>
        </w:rPr>
      </w:pPr>
      <w:r>
        <w:t xml:space="preserve">Remiss till endoskopienheten för gastroskopi inom 1 v. </w:t>
      </w:r>
      <w:r>
        <w:rPr>
          <w:i/>
          <w:iCs/>
          <w:u w:val="single"/>
        </w:rPr>
        <w:t>Högprioritera</w:t>
      </w:r>
      <w:r>
        <w:t xml:space="preserve"> diktatet eller skriv remissen själv. Se till att aktuella kontaktuppgifter till patienten finns registrerade. På dagtid kan gastroskopitid med fördel ordnas i samband med akutbesöket så att patienten har tid för undersökning då denne lämnar akuten. </w:t>
      </w:r>
      <w:r>
        <w:rPr>
          <w:color w:val="000000"/>
          <w:szCs w:val="22"/>
        </w:rPr>
        <w:t>Tänk på möjligheten att ordna akut gastroskopi samma dag (dagtid), ring endoskopin 55027.</w:t>
      </w:r>
    </w:p>
    <w:p w:rsidR="00AD40F7" w:rsidRDefault="00AD40F7" w:rsidP="00AD40F7"/>
    <w:p w:rsidR="00AD40F7" w:rsidRDefault="00AD40F7" w:rsidP="00AD40F7">
      <w:r>
        <w:t>OBS! Kliniskt omdöme rekommenderas! Vid osäkerhet, rådgör med mer erfaren kollega.</w:t>
      </w:r>
    </w:p>
    <w:p w:rsidR="00AD40F7" w:rsidRDefault="00AD40F7" w:rsidP="00AD40F7"/>
    <w:p w:rsidR="00AD40F7" w:rsidRDefault="00AD40F7" w:rsidP="00AD40F7">
      <w:pPr>
        <w:rPr>
          <w:lang w:val="en-GB"/>
        </w:rPr>
      </w:pPr>
      <w:r>
        <w:rPr>
          <w:b/>
          <w:bCs/>
          <w:u w:val="single"/>
          <w:lang w:val="en-GB"/>
        </w:rPr>
        <w:t>Referenser</w:t>
      </w:r>
    </w:p>
    <w:p w:rsidR="00AD40F7" w:rsidRDefault="00AD40F7" w:rsidP="00AD40F7">
      <w:pPr>
        <w:rPr>
          <w:lang w:val="en-GB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GB"/>
            </w:rPr>
            <w:t>Stanley</w:t>
          </w:r>
        </w:smartTag>
      </w:smartTag>
      <w:r>
        <w:rPr>
          <w:lang w:val="en-GB"/>
        </w:rPr>
        <w:t xml:space="preserve"> et al. Outpatient management of patients with low-risk upper-gastrointestinal haemorrhage: multicentre validatioin and prospective evaluation. Lancet 2009;373:42-7</w:t>
      </w:r>
    </w:p>
    <w:p w:rsidR="00AD40F7" w:rsidRDefault="00AD40F7" w:rsidP="00AD40F7">
      <w:pPr>
        <w:rPr>
          <w:lang w:val="en-GB"/>
        </w:rPr>
      </w:pPr>
    </w:p>
    <w:p w:rsidR="00AD40F7" w:rsidRDefault="00AD40F7" w:rsidP="00AD40F7">
      <w:pPr>
        <w:rPr>
          <w:lang w:val="en-GB"/>
        </w:rPr>
      </w:pPr>
      <w:r>
        <w:rPr>
          <w:lang w:val="en-GB"/>
        </w:rPr>
        <w:t>Blatchford et al. A risk score to predict need for treatment for upper-gastrointestinal haemorrhage. Lancet 2000;356:1318-21</w:t>
      </w:r>
    </w:p>
    <w:p w:rsidR="00AD40F7" w:rsidRPr="00AD40F7" w:rsidRDefault="00AD40F7" w:rsidP="00AD40F7"/>
    <w:p w:rsidR="0030489B" w:rsidRPr="00AD40F7" w:rsidRDefault="0030489B" w:rsidP="0030489B"/>
    <w:p w:rsidR="001B61E5" w:rsidRPr="00AD40F7" w:rsidRDefault="001B61E5" w:rsidP="00DD1FC3"/>
    <w:p w:rsidR="0030489B" w:rsidRPr="00AD40F7" w:rsidRDefault="0030489B" w:rsidP="00DD1FC3"/>
    <w:p w:rsidR="0030489B" w:rsidRPr="00AD40F7" w:rsidRDefault="0030489B" w:rsidP="00DD1FC3"/>
    <w:sectPr w:rsidR="0030489B" w:rsidRPr="00AD40F7" w:rsidSect="001737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D1A" w:rsidRDefault="005F7D1A" w:rsidP="006110E2">
      <w:r>
        <w:separator/>
      </w:r>
    </w:p>
  </w:endnote>
  <w:endnote w:type="continuationSeparator" w:id="0">
    <w:p w:rsidR="005F7D1A" w:rsidRDefault="005F7D1A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FD2997" w:rsidP="00D911C9">
          <w:pPr>
            <w:pStyle w:val="Etikett"/>
          </w:pPr>
          <w:bookmarkStart w:id="12" w:name="Målgrupp"/>
          <w:r>
            <w:t>Läkare Kirurgi och Urologi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FD2997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FD2997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FD2997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DSVT-S-392156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D1A" w:rsidRDefault="005F7D1A" w:rsidP="006110E2">
      <w:r>
        <w:separator/>
      </w:r>
    </w:p>
  </w:footnote>
  <w:footnote w:type="continuationSeparator" w:id="0">
    <w:p w:rsidR="005F7D1A" w:rsidRDefault="005F7D1A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FD2997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 xml:space="preserve">Övre Gastrointestinal Blödning utan cirkulatorisk påverkan, handläggning av patient på akuten 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D2997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FD2997">
            <w:rPr>
              <w:sz w:val="16"/>
              <w:szCs w:val="16"/>
            </w:rPr>
            <w:t>2013-03-28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FD2997">
            <w:rPr>
              <w:sz w:val="16"/>
              <w:szCs w:val="16"/>
            </w:rPr>
            <w:t>2015-03-28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D2997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D2997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Jennie Engstrand</w:t>
          </w:r>
          <w:bookmarkEnd w:id="5"/>
        </w:p>
      </w:tc>
    </w:tr>
  </w:tbl>
  <w:p w:rsidR="00D911C9" w:rsidRDefault="004C1B68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FD2997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 xml:space="preserve">Övre Gastrointestinal Blödning utan cirkulatorisk påverkan, handläggning av patient på akuten 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D2997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FD2997">
            <w:rPr>
              <w:sz w:val="16"/>
              <w:szCs w:val="16"/>
            </w:rPr>
            <w:t>2013-03-28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FD2997">
            <w:rPr>
              <w:sz w:val="16"/>
              <w:szCs w:val="16"/>
            </w:rPr>
            <w:t>2015-03-28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D2997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D2997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Jennie Engstrand</w:t>
          </w:r>
          <w:bookmarkEnd w:id="11"/>
        </w:p>
      </w:tc>
    </w:tr>
  </w:tbl>
  <w:p w:rsidR="00D911C9" w:rsidRDefault="004C1B68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32251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A132048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BB41E47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C1B68"/>
    <w:rsid w:val="0052524C"/>
    <w:rsid w:val="00556322"/>
    <w:rsid w:val="005816A8"/>
    <w:rsid w:val="005962B5"/>
    <w:rsid w:val="005B3339"/>
    <w:rsid w:val="005C2B39"/>
    <w:rsid w:val="005F7D1A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D40F7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67351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  <w:rsid w:val="00FD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1926</Characters>
  <Application>Microsoft Office Word</Application>
  <DocSecurity>8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2014-12-17T08:15:00Z</dcterms:created>
  <dcterms:modified xsi:type="dcterms:W3CDTF">2014-12-17T08:15:00Z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