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B61E5" w:rsidRDefault="005A01D3" w:rsidP="0030489B">
      <w:pPr>
        <w:pStyle w:val="Rubrik1"/>
        <w:rPr>
          <w:lang w:val="en-US"/>
        </w:rPr>
      </w:pPr>
      <w:bookmarkStart w:id="0" w:name="title_Repeat"/>
      <w:r>
        <w:rPr>
          <w:lang w:val="en-US"/>
        </w:rPr>
        <w:t>Birt Hogg Dubé BHD</w:t>
      </w:r>
      <w:bookmarkEnd w:id="0"/>
    </w:p>
    <w:p w:rsidR="00D361F4" w:rsidRDefault="00D361F4" w:rsidP="00D361F4">
      <w:pPr>
        <w:rPr>
          <w:lang w:val="en-US"/>
        </w:rPr>
      </w:pPr>
    </w:p>
    <w:p w:rsidR="00D361F4" w:rsidRDefault="00D361F4" w:rsidP="00D361F4">
      <w:pPr>
        <w:pStyle w:val="Rubrik3"/>
      </w:pPr>
      <w:r>
        <w:t>Bakgrund</w:t>
      </w:r>
    </w:p>
    <w:p w:rsidR="00D361F4" w:rsidRDefault="00D361F4" w:rsidP="00D361F4">
      <w:r>
        <w:t>Birt-Hogg-Dubé är en autosomalt dominant sjukdom med en mutation i FLCN som kodar för folliculin. Funktionen av proteinet är till stor del okänd.</w:t>
      </w:r>
    </w:p>
    <w:p w:rsidR="00D361F4" w:rsidRDefault="00D361F4" w:rsidP="00D361F4">
      <w:r>
        <w:t>Syndromet beskrevs första gången 1977 och i världen känner man till ca 200 familjer med sjukdomen.</w:t>
      </w:r>
    </w:p>
    <w:p w:rsidR="00D361F4" w:rsidRDefault="00D361F4" w:rsidP="00D361F4">
      <w:r>
        <w:t>Den klassiska kliniska triaden består av njurcancer, follikulom och spontanpneumothorax. Medelåldern för att drabbas av njurcancer är ca 50 år för de med mutationen. Vanligast är att man drabbas av kromofob njurcancer och onkocytom.</w:t>
      </w:r>
    </w:p>
    <w:p w:rsidR="00D361F4" w:rsidRDefault="00D361F4" w:rsidP="00D361F4">
      <w:pPr>
        <w:pStyle w:val="Rubrik3"/>
      </w:pPr>
      <w:r>
        <w:t>Urologisk uppföljning</w:t>
      </w:r>
    </w:p>
    <w:p w:rsidR="00D361F4" w:rsidRDefault="00D361F4" w:rsidP="00D361F4">
      <w:r>
        <w:t>Urologisk uppföljning av patienter med konstaterad BHD, kontrollerna bör starta när patienten fyllt 20 år eller tio år före närmaste släktings debuterade njurcancer:</w:t>
      </w:r>
    </w:p>
    <w:p w:rsidR="00D361F4" w:rsidRDefault="00D361F4" w:rsidP="00D361F4"/>
    <w:p w:rsidR="00D361F4" w:rsidRDefault="00D361F4" w:rsidP="00D361F4">
      <w:r>
        <w:t>1. Årlig radiologisk undersökning</w:t>
      </w:r>
    </w:p>
    <w:p w:rsidR="00D361F4" w:rsidRDefault="00D361F4" w:rsidP="00D361F4">
      <w:r>
        <w:tab/>
        <w:t>År 1 MR Njurar</w:t>
      </w:r>
    </w:p>
    <w:p w:rsidR="00D361F4" w:rsidRDefault="00D361F4" w:rsidP="00D361F4">
      <w:r>
        <w:tab/>
        <w:t>ÅR 2, Ulj med kontrast av njurarna</w:t>
      </w:r>
    </w:p>
    <w:p w:rsidR="00D361F4" w:rsidRDefault="00D361F4" w:rsidP="00D361F4">
      <w:r>
        <w:tab/>
        <w:t>År 3, ulj med kontrast av njurarna</w:t>
      </w:r>
    </w:p>
    <w:p w:rsidR="00D361F4" w:rsidRDefault="00D361F4" w:rsidP="00D361F4"/>
    <w:p w:rsidR="00D361F4" w:rsidRDefault="00D361F4" w:rsidP="00D361F4">
      <w:r>
        <w:t>Därefter startar cykeln om.</w:t>
      </w:r>
    </w:p>
    <w:p w:rsidR="00D361F4" w:rsidRDefault="00D361F4" w:rsidP="00D361F4"/>
    <w:p w:rsidR="00D361F4" w:rsidRDefault="00D361F4" w:rsidP="00D361F4">
      <w:r>
        <w:t>Upptäcks en njurtumör skall sedvanlig utredning för njurcancer påbörjas vilket inkluderar ct thorax och ct urinvägar med intravenös kontrast för att påvisa kärlanatomi och eventuella tromber.</w:t>
      </w:r>
    </w:p>
    <w:p w:rsidR="00D361F4" w:rsidRDefault="00D361F4" w:rsidP="00D361F4">
      <w:r>
        <w:t>Vid uppföljning av konstaterad behandlad tumör bör de följas upp i enlighet med vårdprogrammet för njurcancer men med MR istället för dt. Avseende lungundersökning kan dt göras, men kontrollerna av lungor kan avslutas i enlighet med vårdprogrammet för njurcancer.</w:t>
      </w:r>
    </w:p>
    <w:p w:rsidR="00D361F4" w:rsidRDefault="00D361F4" w:rsidP="00D361F4"/>
    <w:p w:rsidR="00D361F4" w:rsidRDefault="00D361F4" w:rsidP="00D361F4">
      <w:r>
        <w:t>Vid val av behandling bör nefronsparande kirurgi prioriteras – risken är hög att de utvecklar fler tumörer. RF bör övervägas.</w:t>
      </w:r>
    </w:p>
    <w:p w:rsidR="00D361F4" w:rsidRDefault="00D361F4" w:rsidP="00D361F4"/>
    <w:p w:rsidR="00D361F4" w:rsidRDefault="00D361F4" w:rsidP="00D361F4">
      <w:r>
        <w:t>Sjukdomen ärvs autosomalt dominant varför släktingar till patienter bör erbjudas utredning via klinisk genetik.</w:t>
      </w:r>
    </w:p>
    <w:p w:rsidR="00D361F4" w:rsidRDefault="00D361F4" w:rsidP="00D361F4"/>
    <w:p w:rsidR="00D361F4" w:rsidRDefault="00D361F4" w:rsidP="00D361F4"/>
    <w:p w:rsidR="00D361F4" w:rsidRDefault="00D361F4" w:rsidP="00D361F4">
      <w:r>
        <w:t>Kontaktperson på klinisk genetik:</w:t>
      </w:r>
    </w:p>
    <w:p w:rsidR="00D361F4" w:rsidRDefault="00D361F4" w:rsidP="00D361F4">
      <w:r>
        <w:t xml:space="preserve">Erik Björck, Överläkare, </w:t>
      </w:r>
      <w:hyperlink r:id="rId7" w:history="1">
        <w:r w:rsidRPr="005F53A7">
          <w:rPr>
            <w:rStyle w:val="Hyperlnk"/>
          </w:rPr>
          <w:t>erik.björck@karolinska.se</w:t>
        </w:r>
      </w:hyperlink>
    </w:p>
    <w:p w:rsidR="00D361F4" w:rsidRDefault="00D361F4" w:rsidP="00D361F4"/>
    <w:p w:rsidR="00D361F4" w:rsidRDefault="00D361F4" w:rsidP="00D361F4">
      <w:r>
        <w:t>Kontaktperson på hud:</w:t>
      </w:r>
    </w:p>
    <w:p w:rsidR="00D361F4" w:rsidRDefault="00D361F4" w:rsidP="00D361F4">
      <w:r>
        <w:t xml:space="preserve">Maria Bradley, Överläkare Hud, </w:t>
      </w:r>
      <w:hyperlink r:id="rId8" w:history="1">
        <w:r w:rsidRPr="005F53A7">
          <w:rPr>
            <w:rStyle w:val="Hyperlnk"/>
          </w:rPr>
          <w:t>maria.bradley@karolinska.se</w:t>
        </w:r>
      </w:hyperlink>
    </w:p>
    <w:p w:rsidR="00D361F4" w:rsidRDefault="00D361F4" w:rsidP="00D361F4"/>
    <w:p w:rsidR="00D361F4" w:rsidRPr="00C11693" w:rsidRDefault="00D361F4" w:rsidP="00D361F4">
      <w:pPr>
        <w:rPr>
          <w:lang w:val="nb-NO"/>
        </w:rPr>
      </w:pPr>
      <w:r w:rsidRPr="00C11693">
        <w:rPr>
          <w:lang w:val="nb-NO"/>
        </w:rPr>
        <w:t>Referenser:</w:t>
      </w:r>
    </w:p>
    <w:p w:rsidR="00D361F4" w:rsidRPr="00C11693" w:rsidRDefault="00D361F4" w:rsidP="00D361F4">
      <w:pPr>
        <w:rPr>
          <w:lang w:val="nb-NO"/>
        </w:rPr>
      </w:pPr>
    </w:p>
    <w:p w:rsidR="00D361F4" w:rsidRPr="00C11693" w:rsidRDefault="00D361F4" w:rsidP="00D361F4">
      <w:pPr>
        <w:widowControl w:val="0"/>
        <w:tabs>
          <w:tab w:val="left" w:pos="480"/>
        </w:tabs>
        <w:autoSpaceDE w:val="0"/>
        <w:autoSpaceDN w:val="0"/>
        <w:adjustRightInd w:val="0"/>
        <w:ind w:left="480" w:hanging="480"/>
        <w:rPr>
          <w:rFonts w:cs="Cambria"/>
          <w:lang w:val="nb-NO"/>
        </w:rPr>
      </w:pPr>
      <w:r>
        <w:fldChar w:fldCharType="begin"/>
      </w:r>
      <w:r w:rsidRPr="00C11693">
        <w:rPr>
          <w:lang w:val="nb-NO"/>
        </w:rPr>
        <w:instrText xml:space="preserve"> ADDIN PAPERS2_CITATIONS &lt;papers2_bibliography/&gt;</w:instrText>
      </w:r>
      <w:r>
        <w:fldChar w:fldCharType="separate"/>
      </w:r>
      <w:r w:rsidRPr="00C11693">
        <w:rPr>
          <w:rFonts w:cs="Cambria"/>
          <w:lang w:val="nb-NO"/>
        </w:rPr>
        <w:t>1.</w:t>
      </w:r>
      <w:r w:rsidRPr="00C11693">
        <w:rPr>
          <w:rFonts w:cs="Cambria"/>
          <w:lang w:val="nb-NO"/>
        </w:rPr>
        <w:tab/>
        <w:t xml:space="preserve">Menko, F. H. </w:t>
      </w:r>
      <w:r w:rsidRPr="00C11693">
        <w:rPr>
          <w:rFonts w:cs="Cambria"/>
          <w:i/>
          <w:iCs/>
          <w:lang w:val="nb-NO"/>
        </w:rPr>
        <w:t>et al.</w:t>
      </w:r>
      <w:r w:rsidRPr="00C11693">
        <w:rPr>
          <w:rFonts w:cs="Cambria"/>
          <w:lang w:val="nb-NO"/>
        </w:rPr>
        <w:t xml:space="preserve"> Birt-Hogg-Dubé syndrome: diagnosis and management. </w:t>
      </w:r>
      <w:r w:rsidRPr="00C11693">
        <w:rPr>
          <w:rFonts w:cs="Cambria"/>
          <w:i/>
          <w:iCs/>
          <w:lang w:val="nb-NO"/>
        </w:rPr>
        <w:t>Lancet Oncology</w:t>
      </w:r>
      <w:r w:rsidRPr="00C11693">
        <w:rPr>
          <w:rFonts w:cs="Cambria"/>
          <w:lang w:val="nb-NO"/>
        </w:rPr>
        <w:t xml:space="preserve"> </w:t>
      </w:r>
      <w:r w:rsidRPr="00C11693">
        <w:rPr>
          <w:rFonts w:cs="Cambria"/>
          <w:b/>
          <w:bCs/>
          <w:lang w:val="nb-NO"/>
        </w:rPr>
        <w:t>10</w:t>
      </w:r>
      <w:r w:rsidRPr="00C11693">
        <w:rPr>
          <w:rFonts w:cs="Cambria"/>
          <w:lang w:val="nb-NO"/>
        </w:rPr>
        <w:t>, 1199–1206 (2009).</w:t>
      </w:r>
    </w:p>
    <w:p w:rsidR="0030489B" w:rsidRPr="00AF0162" w:rsidRDefault="00D361F4" w:rsidP="00D361F4">
      <w:pPr>
        <w:widowControl w:val="0"/>
        <w:tabs>
          <w:tab w:val="left" w:pos="480"/>
        </w:tabs>
        <w:autoSpaceDE w:val="0"/>
        <w:autoSpaceDN w:val="0"/>
        <w:adjustRightInd w:val="0"/>
        <w:ind w:left="480" w:hanging="480"/>
        <w:rPr>
          <w:lang w:val="en-US"/>
        </w:rPr>
      </w:pPr>
      <w:r w:rsidRPr="00C11693">
        <w:rPr>
          <w:rFonts w:cs="Cambria"/>
          <w:lang w:val="nb-NO"/>
        </w:rPr>
        <w:t>2.</w:t>
      </w:r>
      <w:r w:rsidRPr="00C11693">
        <w:rPr>
          <w:rFonts w:cs="Cambria"/>
          <w:lang w:val="nb-NO"/>
        </w:rPr>
        <w:tab/>
        <w:t xml:space="preserve">Bradley, M., Hedblad, M.-A., Björck, E. &amp; Nordenskjöld, M. [Birth-Hogg-Dube syndrome--a neglected condition that increases the risk of kidney cancer and pneumothorax]. </w:t>
      </w:r>
      <w:r>
        <w:rPr>
          <w:rFonts w:cs="Cambria"/>
          <w:i/>
          <w:iCs/>
          <w:lang w:val="en-US"/>
        </w:rPr>
        <w:t>Lakartidningen</w:t>
      </w:r>
      <w:r>
        <w:rPr>
          <w:rFonts w:cs="Cambria"/>
          <w:lang w:val="en-US"/>
        </w:rPr>
        <w:t xml:space="preserve"> </w:t>
      </w:r>
      <w:r>
        <w:rPr>
          <w:rFonts w:cs="Cambria"/>
          <w:b/>
          <w:bCs/>
          <w:lang w:val="en-US"/>
        </w:rPr>
        <w:t>108</w:t>
      </w:r>
      <w:r>
        <w:rPr>
          <w:rFonts w:cs="Cambria"/>
          <w:lang w:val="en-US"/>
        </w:rPr>
        <w:t>, 2657–2659 (2011).</w:t>
      </w:r>
      <w:r>
        <w:fldChar w:fldCharType="end"/>
      </w:r>
    </w:p>
    <w:p w:rsidR="001B61E5" w:rsidRPr="00AF0162" w:rsidRDefault="001B61E5" w:rsidP="00DD1FC3">
      <w:pPr>
        <w:rPr>
          <w:lang w:val="en-US"/>
        </w:rPr>
      </w:pPr>
    </w:p>
    <w:p w:rsidR="0030489B" w:rsidRPr="00AF0162" w:rsidRDefault="0030489B" w:rsidP="00DD1FC3">
      <w:pPr>
        <w:rPr>
          <w:lang w:val="en-US"/>
        </w:rPr>
      </w:pPr>
    </w:p>
    <w:p w:rsidR="0030489B" w:rsidRPr="00AF0162" w:rsidRDefault="0030489B" w:rsidP="00DD1FC3">
      <w:pPr>
        <w:rPr>
          <w:lang w:val="en-US"/>
        </w:rPr>
      </w:pPr>
    </w:p>
    <w:sectPr w:rsidR="0030489B" w:rsidRPr="00AF0162" w:rsidSect="001737E1">
      <w:headerReference w:type="even" r:id="rId9"/>
      <w:headerReference w:type="default" r:id="rId10"/>
      <w:footerReference w:type="even" r:id="rId11"/>
      <w:footerReference w:type="default" r:id="rId12"/>
      <w:headerReference w:type="first" r:id="rId13"/>
      <w:footerReference w:type="first" r:id="rId14"/>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372AB" w:rsidRDefault="001372AB" w:rsidP="006110E2">
      <w:r>
        <w:separator/>
      </w:r>
    </w:p>
  </w:endnote>
  <w:endnote w:type="continuationSeparator" w:id="0">
    <w:p w:rsidR="001372AB" w:rsidRDefault="001372AB"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5A01D3" w:rsidP="00D911C9">
          <w:pPr>
            <w:pStyle w:val="Etikett"/>
          </w:pPr>
          <w:bookmarkStart w:id="13" w:name="Målgrupp"/>
          <w:r>
            <w:t>Urologmottagning</w:t>
          </w:r>
          <w:bookmarkEnd w:id="13"/>
        </w:p>
      </w:tc>
      <w:tc>
        <w:tcPr>
          <w:tcW w:w="4536" w:type="dxa"/>
          <w:gridSpan w:val="3"/>
        </w:tcPr>
        <w:p w:rsidR="00D911C9" w:rsidRPr="00EB0979" w:rsidRDefault="00C9569D" w:rsidP="00D911C9">
          <w:pPr>
            <w:pStyle w:val="Etikett"/>
          </w:pPr>
          <w:r>
            <w:t xml:space="preserve">Granskad </w:t>
          </w:r>
          <w:r w:rsidRPr="00EB0979">
            <w:t>av</w:t>
          </w:r>
          <w:r>
            <w:t>:</w:t>
          </w:r>
        </w:p>
        <w:p w:rsidR="00D911C9" w:rsidRPr="00EB0979" w:rsidRDefault="00C9569D" w:rsidP="00A97A99">
          <w:pPr>
            <w:rPr>
              <w:sz w:val="16"/>
              <w:szCs w:val="16"/>
            </w:rPr>
          </w:pPr>
          <w:r>
            <w:rPr>
              <w:sz w:val="16"/>
              <w:szCs w:val="16"/>
            </w:rPr>
            <w:t xml:space="preserve"> </w:t>
          </w:r>
          <w:bookmarkStart w:id="14" w:name="Roll_Granskare"/>
          <w:bookmarkEnd w:id="14"/>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5A01D3" w:rsidP="00A97A99">
          <w:pPr>
            <w:rPr>
              <w:b/>
              <w:sz w:val="16"/>
              <w:szCs w:val="16"/>
            </w:rPr>
          </w:pPr>
          <w:bookmarkStart w:id="15" w:name="Fastställare"/>
          <w:r>
            <w:rPr>
              <w:b/>
              <w:sz w:val="16"/>
              <w:szCs w:val="16"/>
            </w:rPr>
            <w:t>Mudhar Hasan</w:t>
          </w:r>
          <w:bookmarkEnd w:id="15"/>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6" w:name="Diarienummer"/>
          <w:bookmarkEnd w:id="16"/>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5A01D3" w:rsidP="00D911C9">
          <w:pPr>
            <w:rPr>
              <w:b/>
              <w:sz w:val="16"/>
              <w:szCs w:val="16"/>
            </w:rPr>
          </w:pPr>
          <w:bookmarkStart w:id="17" w:name="EF_SLDocumentClassification"/>
          <w:r>
            <w:rPr>
              <w:b/>
              <w:sz w:val="16"/>
              <w:szCs w:val="16"/>
            </w:rPr>
            <w:t>K1</w:t>
          </w:r>
          <w:bookmarkEnd w:id="17"/>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5A01D3" w:rsidP="00D911C9">
          <w:pPr>
            <w:rPr>
              <w:b/>
              <w:sz w:val="16"/>
              <w:szCs w:val="16"/>
            </w:rPr>
          </w:pPr>
          <w:bookmarkStart w:id="18" w:name="identifier"/>
          <w:r>
            <w:rPr>
              <w:b/>
              <w:sz w:val="16"/>
              <w:szCs w:val="16"/>
            </w:rPr>
            <w:t>DSVT-S-392203</w:t>
          </w:r>
          <w:bookmarkEnd w:id="18"/>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372AB" w:rsidRDefault="001372AB" w:rsidP="006110E2">
      <w:r>
        <w:separator/>
      </w:r>
    </w:p>
  </w:footnote>
  <w:footnote w:type="continuationSeparator" w:id="0">
    <w:p w:rsidR="001372AB" w:rsidRDefault="001372AB"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5A01D3" w:rsidP="00C9569D">
          <w:pPr>
            <w:pStyle w:val="Etikett"/>
            <w:rPr>
              <w:sz w:val="18"/>
              <w:szCs w:val="18"/>
            </w:rPr>
          </w:pPr>
          <w:bookmarkStart w:id="1" w:name="title_Repeat1"/>
          <w:r>
            <w:rPr>
              <w:sz w:val="18"/>
              <w:szCs w:val="18"/>
            </w:rPr>
            <w:t>Birt Hogg Dubé BHD</w:t>
          </w:r>
          <w:bookmarkEnd w:id="1"/>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5A01D3" w:rsidP="00ED665A">
          <w:pPr>
            <w:pStyle w:val="Etikett"/>
            <w:rPr>
              <w:b/>
              <w:sz w:val="18"/>
              <w:szCs w:val="18"/>
            </w:rPr>
          </w:pPr>
          <w:bookmarkStart w:id="2" w:name="Dokumenttyp_Repeat"/>
          <w:r>
            <w:rPr>
              <w:b/>
              <w:sz w:val="18"/>
              <w:szCs w:val="18"/>
            </w:rPr>
            <w:t>Riktlinje (rutin, PM)</w:t>
          </w:r>
          <w:bookmarkEnd w:id="2"/>
        </w:p>
      </w:tc>
      <w:tc>
        <w:tcPr>
          <w:tcW w:w="1985" w:type="dxa"/>
        </w:tcPr>
        <w:p w:rsidR="00D911C9" w:rsidRPr="00ED665A" w:rsidRDefault="00D911C9" w:rsidP="00C9569D">
          <w:pPr>
            <w:rPr>
              <w:sz w:val="18"/>
              <w:szCs w:val="18"/>
            </w:rPr>
          </w:pPr>
          <w:r w:rsidRPr="00ED665A">
            <w:rPr>
              <w:sz w:val="16"/>
              <w:szCs w:val="16"/>
            </w:rPr>
            <w:t xml:space="preserve">Giltigt från: </w:t>
          </w:r>
          <w:bookmarkStart w:id="3" w:name="validFrom_Repeat"/>
          <w:r w:rsidR="005A01D3">
            <w:rPr>
              <w:sz w:val="16"/>
              <w:szCs w:val="16"/>
            </w:rPr>
            <w:t>2014-05-15</w:t>
          </w:r>
          <w:bookmarkEnd w:id="3"/>
          <w:r w:rsidR="00C9569D">
            <w:rPr>
              <w:sz w:val="16"/>
              <w:szCs w:val="16"/>
            </w:rPr>
            <w:br/>
          </w:r>
          <w:r w:rsidRPr="00F515C5">
            <w:rPr>
              <w:sz w:val="16"/>
              <w:szCs w:val="16"/>
            </w:rPr>
            <w:t xml:space="preserve">Giltigt Till: </w:t>
          </w:r>
          <w:bookmarkStart w:id="4" w:name="ShortValidToDate_Repeat"/>
          <w:r w:rsidR="005A01D3">
            <w:rPr>
              <w:sz w:val="16"/>
              <w:szCs w:val="16"/>
            </w:rPr>
            <w:t>2016-05-15</w:t>
          </w:r>
          <w:bookmarkEnd w:id="4"/>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5A01D3" w:rsidP="00ED665A">
          <w:pPr>
            <w:rPr>
              <w:sz w:val="18"/>
              <w:szCs w:val="18"/>
            </w:rPr>
          </w:pPr>
          <w:bookmarkStart w:id="5" w:name="Verksamhetstyp_Repeat"/>
          <w:r>
            <w:rPr>
              <w:sz w:val="18"/>
              <w:szCs w:val="18"/>
            </w:rPr>
            <w:t>3.05.02 Urologi</w:t>
          </w:r>
          <w:bookmarkEnd w:id="5"/>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5A01D3" w:rsidP="00C9569D">
          <w:pPr>
            <w:rPr>
              <w:b/>
              <w:sz w:val="18"/>
              <w:szCs w:val="18"/>
            </w:rPr>
          </w:pPr>
          <w:bookmarkStart w:id="6" w:name="Establisher_Repeat"/>
          <w:r>
            <w:rPr>
              <w:b/>
              <w:sz w:val="18"/>
              <w:szCs w:val="18"/>
            </w:rPr>
            <w:t>Mudhar Hasan</w:t>
          </w:r>
          <w:bookmarkEnd w:id="6"/>
        </w:p>
      </w:tc>
    </w:tr>
  </w:tbl>
  <w:p w:rsidR="00D911C9" w:rsidRDefault="00046AB7"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5A01D3" w:rsidP="00D911C9">
          <w:pPr>
            <w:pStyle w:val="Etikett"/>
            <w:rPr>
              <w:sz w:val="18"/>
              <w:szCs w:val="18"/>
            </w:rPr>
          </w:pPr>
          <w:bookmarkStart w:id="7" w:name="title"/>
          <w:r>
            <w:rPr>
              <w:sz w:val="18"/>
              <w:szCs w:val="18"/>
            </w:rPr>
            <w:t>Birt Hogg Dubé BHD</w:t>
          </w:r>
          <w:bookmarkEnd w:id="7"/>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5A01D3" w:rsidP="00D911C9">
          <w:pPr>
            <w:pStyle w:val="Etikett"/>
            <w:rPr>
              <w:b/>
              <w:sz w:val="18"/>
              <w:szCs w:val="18"/>
            </w:rPr>
          </w:pPr>
          <w:bookmarkStart w:id="8" w:name="Dokumenttyp"/>
          <w:r>
            <w:rPr>
              <w:b/>
              <w:sz w:val="18"/>
              <w:szCs w:val="18"/>
            </w:rPr>
            <w:t>Riktlinje (rutin, PM)</w:t>
          </w:r>
          <w:bookmarkEnd w:id="8"/>
        </w:p>
      </w:tc>
      <w:tc>
        <w:tcPr>
          <w:tcW w:w="1985" w:type="dxa"/>
        </w:tcPr>
        <w:p w:rsidR="00D911C9" w:rsidRPr="00F515C5" w:rsidRDefault="00D911C9" w:rsidP="00D911C9">
          <w:pPr>
            <w:rPr>
              <w:b/>
              <w:sz w:val="16"/>
              <w:szCs w:val="16"/>
            </w:rPr>
          </w:pPr>
          <w:r w:rsidRPr="00ED665A">
            <w:rPr>
              <w:sz w:val="16"/>
              <w:szCs w:val="16"/>
            </w:rPr>
            <w:t xml:space="preserve">Giltigt från: </w:t>
          </w:r>
          <w:bookmarkStart w:id="9" w:name="validFrom"/>
          <w:r w:rsidR="005A01D3">
            <w:rPr>
              <w:sz w:val="16"/>
              <w:szCs w:val="16"/>
            </w:rPr>
            <w:t>2014-05-15</w:t>
          </w:r>
          <w:bookmarkEnd w:id="9"/>
        </w:p>
        <w:p w:rsidR="00D911C9" w:rsidRPr="00ED665A" w:rsidRDefault="00D911C9" w:rsidP="00A97A99">
          <w:pPr>
            <w:rPr>
              <w:sz w:val="18"/>
              <w:szCs w:val="18"/>
            </w:rPr>
          </w:pPr>
          <w:r w:rsidRPr="00F515C5">
            <w:rPr>
              <w:sz w:val="16"/>
              <w:szCs w:val="16"/>
            </w:rPr>
            <w:t xml:space="preserve">Giltigt Till: </w:t>
          </w:r>
          <w:bookmarkStart w:id="10" w:name="ShortValidToDate"/>
          <w:r w:rsidR="005A01D3">
            <w:rPr>
              <w:sz w:val="16"/>
              <w:szCs w:val="16"/>
            </w:rPr>
            <w:t>2016-05-15</w:t>
          </w:r>
          <w:bookmarkEnd w:id="10"/>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5A01D3" w:rsidP="00D911C9">
          <w:pPr>
            <w:rPr>
              <w:sz w:val="18"/>
              <w:szCs w:val="18"/>
            </w:rPr>
          </w:pPr>
          <w:bookmarkStart w:id="11" w:name="Verksamhetstyp"/>
          <w:r>
            <w:rPr>
              <w:sz w:val="18"/>
              <w:szCs w:val="18"/>
            </w:rPr>
            <w:t>3.05.02 Urologi</w:t>
          </w:r>
          <w:bookmarkEnd w:id="11"/>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5A01D3" w:rsidP="00D911C9">
          <w:pPr>
            <w:rPr>
              <w:b/>
              <w:sz w:val="18"/>
              <w:szCs w:val="18"/>
            </w:rPr>
          </w:pPr>
          <w:bookmarkStart w:id="12" w:name="Establisher"/>
          <w:r>
            <w:rPr>
              <w:b/>
              <w:sz w:val="18"/>
              <w:szCs w:val="18"/>
            </w:rPr>
            <w:t>Mudhar Hasan</w:t>
          </w:r>
          <w:bookmarkEnd w:id="12"/>
        </w:p>
      </w:tc>
    </w:tr>
  </w:tbl>
  <w:p w:rsidR="00D911C9" w:rsidRDefault="00046AB7">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2">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3">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46AB7"/>
    <w:rsid w:val="0005773C"/>
    <w:rsid w:val="0006099F"/>
    <w:rsid w:val="000678E0"/>
    <w:rsid w:val="0007782C"/>
    <w:rsid w:val="001372AB"/>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A01D3"/>
    <w:rsid w:val="005B3339"/>
    <w:rsid w:val="005C2B39"/>
    <w:rsid w:val="00600E41"/>
    <w:rsid w:val="006110E2"/>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F01F4"/>
    <w:rsid w:val="00A0638C"/>
    <w:rsid w:val="00A93A11"/>
    <w:rsid w:val="00A97A99"/>
    <w:rsid w:val="00AF0162"/>
    <w:rsid w:val="00B42060"/>
    <w:rsid w:val="00BE0807"/>
    <w:rsid w:val="00BF5978"/>
    <w:rsid w:val="00C156AD"/>
    <w:rsid w:val="00C56BED"/>
    <w:rsid w:val="00C9569D"/>
    <w:rsid w:val="00CD5628"/>
    <w:rsid w:val="00CE5912"/>
    <w:rsid w:val="00D133C0"/>
    <w:rsid w:val="00D361F4"/>
    <w:rsid w:val="00D530D0"/>
    <w:rsid w:val="00D64C71"/>
    <w:rsid w:val="00D911C9"/>
    <w:rsid w:val="00DA4A36"/>
    <w:rsid w:val="00DD1FC3"/>
    <w:rsid w:val="00DF73E9"/>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semiHidden/>
    <w:unhideWhenUsed/>
    <w:qFormat/>
    <w:rsid w:val="00D361F4"/>
    <w:pPr>
      <w:keepNext/>
      <w:spacing w:before="240" w:after="60"/>
      <w:outlineLvl w:val="2"/>
    </w:pPr>
    <w:rPr>
      <w:rFonts w:ascii="Cambria" w:hAnsi="Cambria"/>
      <w:b/>
      <w:bCs/>
      <w:sz w:val="26"/>
      <w:szCs w:val="26"/>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semiHidden/>
    <w:rsid w:val="00D361F4"/>
    <w:rPr>
      <w:rFonts w:ascii="Cambria" w:eastAsia="Times New Roman" w:hAnsi="Cambria" w:cs="Times New Roman"/>
      <w:b/>
      <w:bCs/>
      <w:sz w:val="26"/>
      <w:szCs w:val="26"/>
    </w:rPr>
  </w:style>
  <w:style w:type="character" w:styleId="Hyperlnk">
    <w:name w:val="Hyperlink"/>
    <w:uiPriority w:val="99"/>
    <w:unhideWhenUsed/>
    <w:rsid w:val="00D361F4"/>
    <w:rPr>
      <w:color w:val="0000FF"/>
      <w:u w:val="single"/>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mailto:maria.bradley@karolinska.se"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erik.bj&#246;rck@karolinska.se"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349</Words>
  <Characters>1855</Characters>
  <Application>Microsoft Office Word</Application>
  <DocSecurity>8</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2200</CharactersWithSpaces>
  <SharedDoc>false</SharedDoc>
  <HLinks>
    <vt:vector size="12" baseType="variant">
      <vt:variant>
        <vt:i4>3211353</vt:i4>
      </vt:variant>
      <vt:variant>
        <vt:i4>3</vt:i4>
      </vt:variant>
      <vt:variant>
        <vt:i4>0</vt:i4>
      </vt:variant>
      <vt:variant>
        <vt:i4>5</vt:i4>
      </vt:variant>
      <vt:variant>
        <vt:lpwstr>mailto:maria.bradley@karolinska.se</vt:lpwstr>
      </vt:variant>
      <vt:variant>
        <vt:lpwstr/>
      </vt:variant>
      <vt:variant>
        <vt:i4>524514</vt:i4>
      </vt:variant>
      <vt:variant>
        <vt:i4>0</vt:i4>
      </vt:variant>
      <vt:variant>
        <vt:i4>0</vt:i4>
      </vt:variant>
      <vt:variant>
        <vt:i4>5</vt:i4>
      </vt:variant>
      <vt:variant>
        <vt:lpwstr>mailto:erik.björck@karolinska.se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geraast</cp:lastModifiedBy>
  <cp:revision>2</cp:revision>
  <cp:lastPrinted>2007-02-20T07:57:00Z</cp:lastPrinted>
  <dcterms:created xsi:type="dcterms:W3CDTF">2014-12-17T09:41:00Z</dcterms:created>
  <dcterms:modified xsi:type="dcterms:W3CDTF">2014-12-17T09:41:00Z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