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7A8" w:rsidRDefault="005F67A8" w:rsidP="005F67A8">
      <w:pPr>
        <w:rPr>
          <w:b/>
          <w:sz w:val="28"/>
          <w:szCs w:val="28"/>
          <w:u w:val="single"/>
        </w:rPr>
      </w:pPr>
    </w:p>
    <w:p w:rsidR="005F67A8" w:rsidRDefault="005F67A8" w:rsidP="005F67A8">
      <w:pPr>
        <w:rPr>
          <w:b/>
          <w:sz w:val="28"/>
          <w:szCs w:val="28"/>
          <w:u w:val="single"/>
        </w:rPr>
      </w:pPr>
      <w:r>
        <w:rPr>
          <w:b/>
          <w:sz w:val="28"/>
          <w:szCs w:val="28"/>
          <w:u w:val="single"/>
        </w:rPr>
        <w:t>Uppföljning av patienter efter divertikulit</w:t>
      </w:r>
    </w:p>
    <w:p w:rsidR="005F67A8" w:rsidRDefault="005F67A8" w:rsidP="005F67A8">
      <w:pPr>
        <w:rPr>
          <w:i/>
          <w:szCs w:val="22"/>
          <w:u w:val="single"/>
        </w:rPr>
      </w:pPr>
      <w:r>
        <w:rPr>
          <w:i/>
          <w:u w:val="single"/>
        </w:rPr>
        <w:t>ALLMÄNT</w:t>
      </w:r>
    </w:p>
    <w:p w:rsidR="005F67A8" w:rsidRDefault="005F67A8" w:rsidP="005F67A8">
      <w:pPr>
        <w:rPr>
          <w:i/>
          <w:u w:val="single"/>
        </w:rPr>
      </w:pPr>
      <w:r>
        <w:rPr>
          <w:i/>
          <w:sz w:val="20"/>
          <w:szCs w:val="20"/>
        </w:rPr>
        <w:t xml:space="preserve">Genom registerforskning vet man att patienter under det första året efter förstagångsdivertikulit har en kraftigt ökad risk för att få en koloncancerdiagnos. Därefter är risken inte större för dessa patienter att utveckla koloncancer än motsvarande risk för normalbefolkningen. Det beror sannolikt på att tillståndet lett till att kolon undersökts men också till en del på snarlika symtom vid divertikulit och koloncancer. DT buk med typiska fynd av divertikulit utesluter </w:t>
      </w:r>
      <w:r>
        <w:rPr>
          <w:i/>
          <w:sz w:val="20"/>
          <w:szCs w:val="20"/>
          <w:u w:val="single"/>
        </w:rPr>
        <w:t>inte</w:t>
      </w:r>
      <w:r>
        <w:rPr>
          <w:i/>
          <w:sz w:val="20"/>
          <w:szCs w:val="20"/>
        </w:rPr>
        <w:t xml:space="preserve"> koloncancer.</w:t>
      </w:r>
    </w:p>
    <w:p w:rsidR="005F67A8" w:rsidRDefault="005F67A8" w:rsidP="005F67A8">
      <w:pPr>
        <w:rPr>
          <w:b/>
          <w:u w:val="single"/>
        </w:rPr>
      </w:pPr>
      <w:r>
        <w:rPr>
          <w:b/>
          <w:u w:val="single"/>
        </w:rPr>
        <w:t>KOLONUNDERSÖKNING</w:t>
      </w:r>
    </w:p>
    <w:p w:rsidR="005F67A8" w:rsidRDefault="005F67A8" w:rsidP="005F67A8">
      <w:pPr>
        <w:pStyle w:val="Liststycke"/>
        <w:numPr>
          <w:ilvl w:val="0"/>
          <w:numId w:val="5"/>
        </w:numPr>
        <w:spacing w:after="200" w:line="276" w:lineRule="auto"/>
      </w:pPr>
      <w:r>
        <w:t xml:space="preserve">Konservativt behandlad förstagångs episod av symptom typiska för </w:t>
      </w:r>
      <w:r>
        <w:rPr>
          <w:u w:val="single"/>
        </w:rPr>
        <w:t>sigmoideum divertikulit</w:t>
      </w:r>
      <w:r>
        <w:t xml:space="preserve"> där DT buk gav stöd för diagnosen (fynd av divertiklar och perikolisk infiltration med eller utan abscess eller perforation):</w:t>
      </w:r>
    </w:p>
    <w:p w:rsidR="005F67A8" w:rsidRDefault="005F67A8" w:rsidP="005F67A8">
      <w:pPr>
        <w:spacing w:before="100" w:beforeAutospacing="1" w:after="100" w:afterAutospacing="1"/>
        <w:ind w:left="1440"/>
        <w:contextualSpacing/>
        <w:rPr>
          <w:sz w:val="24"/>
          <w:u w:val="single"/>
        </w:rPr>
      </w:pPr>
      <w:r>
        <w:rPr>
          <w:sz w:val="24"/>
          <w:u w:val="single"/>
        </w:rPr>
        <w:t xml:space="preserve">Sigmoideoskopi med Laxabonlaxering  4-6 veckor efter utskrivning.  </w:t>
      </w:r>
    </w:p>
    <w:p w:rsidR="005F67A8" w:rsidRDefault="005F67A8" w:rsidP="005F67A8">
      <w:pPr>
        <w:spacing w:before="100" w:beforeAutospacing="1" w:after="100" w:afterAutospacing="1"/>
        <w:ind w:left="1440"/>
        <w:contextualSpacing/>
        <w:rPr>
          <w:sz w:val="24"/>
        </w:rPr>
      </w:pPr>
    </w:p>
    <w:p w:rsidR="005F67A8" w:rsidRDefault="005F67A8" w:rsidP="005F67A8">
      <w:pPr>
        <w:numPr>
          <w:ilvl w:val="0"/>
          <w:numId w:val="5"/>
        </w:numPr>
        <w:spacing w:before="100" w:beforeAutospacing="1" w:after="100" w:afterAutospacing="1"/>
        <w:rPr>
          <w:sz w:val="24"/>
        </w:rPr>
      </w:pPr>
      <w:r>
        <w:rPr>
          <w:sz w:val="24"/>
        </w:rPr>
        <w:t>Känd divertikelsjukdom med typiska symtom av recidiverande divertikulit där kolon undersökts tidigare:</w:t>
      </w:r>
    </w:p>
    <w:p w:rsidR="005F67A8" w:rsidRDefault="005F67A8" w:rsidP="005F67A8">
      <w:pPr>
        <w:spacing w:before="100" w:beforeAutospacing="1" w:after="100" w:afterAutospacing="1"/>
        <w:ind w:left="1440"/>
        <w:contextualSpacing/>
        <w:rPr>
          <w:sz w:val="24"/>
          <w:u w:val="single"/>
        </w:rPr>
      </w:pPr>
      <w:r>
        <w:rPr>
          <w:sz w:val="24"/>
          <w:u w:val="single"/>
        </w:rPr>
        <w:t xml:space="preserve"> Ingen undersökning nödvändig. </w:t>
      </w:r>
    </w:p>
    <w:p w:rsidR="005F67A8" w:rsidRDefault="005F67A8" w:rsidP="005F67A8">
      <w:pPr>
        <w:spacing w:before="100" w:beforeAutospacing="1" w:after="100" w:afterAutospacing="1"/>
        <w:ind w:left="1440"/>
        <w:contextualSpacing/>
        <w:rPr>
          <w:sz w:val="24"/>
        </w:rPr>
      </w:pPr>
    </w:p>
    <w:p w:rsidR="005F67A8" w:rsidRDefault="005F67A8" w:rsidP="005F67A8">
      <w:pPr>
        <w:numPr>
          <w:ilvl w:val="0"/>
          <w:numId w:val="5"/>
        </w:numPr>
        <w:spacing w:before="100" w:beforeAutospacing="1" w:after="100" w:afterAutospacing="1"/>
        <w:rPr>
          <w:sz w:val="24"/>
          <w:u w:val="single"/>
        </w:rPr>
      </w:pPr>
      <w:r>
        <w:rPr>
          <w:sz w:val="24"/>
        </w:rPr>
        <w:t>Alarm symtom (t. ex . anemi, blod i avföring, palpabel resistens hö sida), avsaknad av DT buk som stöd för diagnos vid det akuta vårdtillfället, patient med divertikulit med atypisk lokalisation:</w:t>
      </w:r>
    </w:p>
    <w:p w:rsidR="005F67A8" w:rsidRDefault="005F67A8" w:rsidP="005F67A8">
      <w:pPr>
        <w:spacing w:before="100" w:beforeAutospacing="1" w:after="100" w:afterAutospacing="1"/>
        <w:rPr>
          <w:sz w:val="24"/>
          <w:u w:val="single"/>
        </w:rPr>
      </w:pPr>
      <w:r>
        <w:rPr>
          <w:sz w:val="24"/>
        </w:rPr>
        <w:t xml:space="preserve"> </w:t>
      </w:r>
      <w:r>
        <w:rPr>
          <w:sz w:val="24"/>
        </w:rPr>
        <w:tab/>
      </w:r>
      <w:r>
        <w:rPr>
          <w:sz w:val="24"/>
          <w:u w:val="single"/>
        </w:rPr>
        <w:t xml:space="preserve"> Koloskopi med Laxabonlaxering  4-6 veckor efter utskrivning.</w:t>
      </w:r>
    </w:p>
    <w:p w:rsidR="005F67A8" w:rsidRDefault="005F67A8" w:rsidP="005F67A8">
      <w:pPr>
        <w:spacing w:before="100" w:beforeAutospacing="1" w:after="100" w:afterAutospacing="1"/>
        <w:rPr>
          <w:sz w:val="24"/>
          <w:u w:val="single"/>
        </w:rPr>
      </w:pPr>
    </w:p>
    <w:p w:rsidR="005F67A8" w:rsidRDefault="005F67A8" w:rsidP="005F67A8">
      <w:pPr>
        <w:numPr>
          <w:ilvl w:val="0"/>
          <w:numId w:val="5"/>
        </w:numPr>
        <w:spacing w:before="100" w:beforeAutospacing="1" w:after="100" w:afterAutospacing="1"/>
        <w:rPr>
          <w:sz w:val="24"/>
          <w:u w:val="single"/>
        </w:rPr>
      </w:pPr>
      <w:r>
        <w:rPr>
          <w:sz w:val="24"/>
        </w:rPr>
        <w:t>Patienter som opererats akut:</w:t>
      </w:r>
    </w:p>
    <w:p w:rsidR="005F67A8" w:rsidRDefault="005F67A8" w:rsidP="005F67A8">
      <w:pPr>
        <w:spacing w:before="100" w:beforeAutospacing="1" w:after="100" w:afterAutospacing="1"/>
        <w:ind w:left="1304"/>
        <w:contextualSpacing/>
        <w:rPr>
          <w:sz w:val="24"/>
          <w:u w:val="single"/>
        </w:rPr>
      </w:pPr>
      <w:r>
        <w:rPr>
          <w:sz w:val="24"/>
          <w:u w:val="single"/>
        </w:rPr>
        <w:t>Koloskopi med Laxabonlaxering 4-6 veckor efter utskrivning eller senast inför ev. stominedläggning.</w:t>
      </w:r>
    </w:p>
    <w:p w:rsidR="005F67A8" w:rsidRDefault="005F67A8" w:rsidP="005F67A8">
      <w:pPr>
        <w:rPr>
          <w:rFonts w:eastAsia="Calibri"/>
          <w:i/>
          <w:szCs w:val="22"/>
          <w:lang w:eastAsia="en-US"/>
        </w:rPr>
      </w:pPr>
      <w:r>
        <w:rPr>
          <w:i/>
        </w:rPr>
        <w:t>DT kolon erbjuds patienter som inte tolererar koloskopi.</w:t>
      </w:r>
    </w:p>
    <w:p w:rsidR="005F67A8" w:rsidRDefault="005F67A8" w:rsidP="005F67A8">
      <w:pPr>
        <w:rPr>
          <w:b/>
          <w:u w:val="single"/>
        </w:rPr>
      </w:pPr>
      <w:r>
        <w:rPr>
          <w:b/>
          <w:u w:val="single"/>
        </w:rPr>
        <w:t>ALLMÄNNA RÅD</w:t>
      </w:r>
    </w:p>
    <w:p w:rsidR="005F67A8" w:rsidRDefault="005F67A8" w:rsidP="005F67A8">
      <w:r>
        <w:t>Samtliga patienter bör informeras allmänt om sjukdomen samt tillrådas att äta fiberhaltig kost (inte visat att detta förebygger recidiv men sannolikt inte skadligt). Infobroschyr om sjukdomen och skriftliga kostråd finns på vårdavdelningar och mottagning). Remiss till dietist i primärvård i utvalda fall.</w:t>
      </w:r>
    </w:p>
    <w:p w:rsidR="005F67A8" w:rsidRDefault="005F67A8" w:rsidP="005F67A8">
      <w:pPr>
        <w:rPr>
          <w:b/>
          <w:u w:val="single"/>
        </w:rPr>
      </w:pPr>
      <w:r>
        <w:rPr>
          <w:b/>
          <w:u w:val="single"/>
        </w:rPr>
        <w:t>PLANERAD RESEKTION FÖR ATT FÖRHINDRA/BEHANDLA RECIDIV/KOMPLIKATIONER</w:t>
      </w:r>
    </w:p>
    <w:p w:rsidR="005F67A8" w:rsidRDefault="005F67A8" w:rsidP="005F67A8">
      <w:r>
        <w:t>Kan komma i fråga vid komplikation (fistel, obstruktion) eller om &gt; 1 recidiv. Beslut om operation sker från fall till fall efter ingående risk/nytta diskussion mellan (kolorektal) kirurg och patient. Yngre patient (lång exponering för sjukdom sannolik) och patient med immunosuppression (hög risk för recidiv) har sannolikt mer nytta av operation. IBS lika symtom innebär risk för sämre resultat efter operation medan patient med väldokumenterade divertikulitepisoder (DT-verifikation) har bättre resultat.</w:t>
      </w:r>
    </w:p>
    <w:p w:rsidR="0030489B" w:rsidRPr="005F67A8" w:rsidRDefault="0030489B" w:rsidP="0030489B"/>
    <w:p w:rsidR="001B61E5" w:rsidRPr="005F67A8" w:rsidRDefault="001B61E5" w:rsidP="00DD1FC3"/>
    <w:p w:rsidR="0030489B" w:rsidRPr="005F67A8" w:rsidRDefault="0030489B" w:rsidP="00DD1FC3"/>
    <w:p w:rsidR="0030489B" w:rsidRPr="005F67A8" w:rsidRDefault="0030489B" w:rsidP="00DD1FC3"/>
    <w:sectPr w:rsidR="0030489B" w:rsidRPr="005F67A8" w:rsidSect="001737E1">
      <w:headerReference w:type="even" r:id="rId7"/>
      <w:headerReference w:type="default" r:id="rId8"/>
      <w:footerReference w:type="even" r:id="rId9"/>
      <w:footerReference w:type="default" r:id="rId10"/>
      <w:headerReference w:type="first" r:id="rId11"/>
      <w:footerReference w:type="first" r:id="rId12"/>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12A1" w:rsidRDefault="003212A1" w:rsidP="006110E2">
      <w:r>
        <w:separator/>
      </w:r>
    </w:p>
  </w:endnote>
  <w:endnote w:type="continuationSeparator" w:id="0">
    <w:p w:rsidR="003212A1" w:rsidRDefault="003212A1"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F40667" w:rsidP="00D911C9">
          <w:pPr>
            <w:pStyle w:val="Etikett"/>
          </w:pPr>
          <w:bookmarkStart w:id="12" w:name="Målgrupp"/>
          <w:r>
            <w:t>Kirurg- och Urologkliniken</w:t>
          </w:r>
          <w:bookmarkEnd w:id="12"/>
        </w:p>
      </w:tc>
      <w:tc>
        <w:tcPr>
          <w:tcW w:w="4536" w:type="dxa"/>
          <w:gridSpan w:val="3"/>
        </w:tcPr>
        <w:p w:rsidR="00D911C9" w:rsidRPr="00EB0979" w:rsidRDefault="00C9569D" w:rsidP="00D911C9">
          <w:pPr>
            <w:pStyle w:val="Etikett"/>
          </w:pPr>
          <w:r>
            <w:t xml:space="preserve">Granskad </w:t>
          </w:r>
          <w:r w:rsidRPr="00EB0979">
            <w:t>av</w:t>
          </w:r>
          <w:r>
            <w:t>:</w:t>
          </w:r>
        </w:p>
        <w:p w:rsidR="00D911C9" w:rsidRPr="00EB0979" w:rsidRDefault="00C9569D" w:rsidP="00A97A99">
          <w:pPr>
            <w:rPr>
              <w:sz w:val="16"/>
              <w:szCs w:val="16"/>
            </w:rPr>
          </w:pPr>
          <w:r>
            <w:rPr>
              <w:sz w:val="16"/>
              <w:szCs w:val="16"/>
            </w:rPr>
            <w:t xml:space="preserve"> </w:t>
          </w:r>
          <w:bookmarkStart w:id="13" w:name="Roll_Granskare"/>
          <w:bookmarkEnd w:id="13"/>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F40667" w:rsidP="00A97A99">
          <w:pPr>
            <w:rPr>
              <w:b/>
              <w:sz w:val="16"/>
              <w:szCs w:val="16"/>
            </w:rPr>
          </w:pPr>
          <w:bookmarkStart w:id="14" w:name="Fastställare"/>
          <w:r>
            <w:rPr>
              <w:b/>
              <w:sz w:val="16"/>
              <w:szCs w:val="16"/>
            </w:rPr>
            <w:t>Johanna Albert</w:t>
          </w:r>
          <w:bookmarkEnd w:id="14"/>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15" w:name="Diarienummer"/>
          <w:bookmarkEnd w:id="15"/>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F40667" w:rsidP="00D911C9">
          <w:pPr>
            <w:rPr>
              <w:b/>
              <w:sz w:val="16"/>
              <w:szCs w:val="16"/>
            </w:rPr>
          </w:pPr>
          <w:bookmarkStart w:id="16" w:name="EF_SLDocumentClassification"/>
          <w:r>
            <w:rPr>
              <w:b/>
              <w:sz w:val="16"/>
              <w:szCs w:val="16"/>
            </w:rPr>
            <w:t>K1</w:t>
          </w:r>
          <w:bookmarkEnd w:id="16"/>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F40667" w:rsidP="00D911C9">
          <w:pPr>
            <w:rPr>
              <w:b/>
              <w:sz w:val="16"/>
              <w:szCs w:val="16"/>
            </w:rPr>
          </w:pPr>
          <w:bookmarkStart w:id="17" w:name="identifier"/>
          <w:r>
            <w:rPr>
              <w:b/>
              <w:sz w:val="16"/>
              <w:szCs w:val="16"/>
            </w:rPr>
            <w:t>DSVT-S-392088</w:t>
          </w:r>
          <w:bookmarkEnd w:id="17"/>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12A1" w:rsidRDefault="003212A1" w:rsidP="006110E2">
      <w:r>
        <w:separator/>
      </w:r>
    </w:p>
  </w:footnote>
  <w:footnote w:type="continuationSeparator" w:id="0">
    <w:p w:rsidR="003212A1" w:rsidRDefault="003212A1"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F40667" w:rsidP="00C9569D">
          <w:pPr>
            <w:pStyle w:val="Etikett"/>
            <w:rPr>
              <w:sz w:val="18"/>
              <w:szCs w:val="18"/>
            </w:rPr>
          </w:pPr>
          <w:bookmarkStart w:id="0" w:name="title_Repeat1"/>
          <w:r>
            <w:rPr>
              <w:sz w:val="18"/>
              <w:szCs w:val="18"/>
            </w:rPr>
            <w:t>Divertikulit, uppföljning av patienter</w:t>
          </w:r>
          <w:bookmarkEnd w:id="0"/>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F40667" w:rsidP="00ED665A">
          <w:pPr>
            <w:pStyle w:val="Etikett"/>
            <w:rPr>
              <w:b/>
              <w:sz w:val="18"/>
              <w:szCs w:val="18"/>
            </w:rPr>
          </w:pPr>
          <w:bookmarkStart w:id="1" w:name="Dokumenttyp_Repeat"/>
          <w:r>
            <w:rPr>
              <w:b/>
              <w:sz w:val="18"/>
              <w:szCs w:val="18"/>
            </w:rPr>
            <w:t>Riktlinje (rutin, PM)</w:t>
          </w:r>
          <w:bookmarkEnd w:id="1"/>
        </w:p>
      </w:tc>
      <w:tc>
        <w:tcPr>
          <w:tcW w:w="1985" w:type="dxa"/>
        </w:tcPr>
        <w:p w:rsidR="00D911C9" w:rsidRPr="00ED665A" w:rsidRDefault="00D911C9" w:rsidP="00C9569D">
          <w:pPr>
            <w:rPr>
              <w:sz w:val="18"/>
              <w:szCs w:val="18"/>
            </w:rPr>
          </w:pPr>
          <w:r w:rsidRPr="00ED665A">
            <w:rPr>
              <w:sz w:val="16"/>
              <w:szCs w:val="16"/>
            </w:rPr>
            <w:t xml:space="preserve">Giltigt från: </w:t>
          </w:r>
          <w:bookmarkStart w:id="2" w:name="validFrom_Repeat"/>
          <w:r w:rsidR="00F40667">
            <w:rPr>
              <w:sz w:val="16"/>
              <w:szCs w:val="16"/>
            </w:rPr>
            <w:t>2011-05-25</w:t>
          </w:r>
          <w:bookmarkEnd w:id="2"/>
          <w:r w:rsidR="00C9569D">
            <w:rPr>
              <w:sz w:val="16"/>
              <w:szCs w:val="16"/>
            </w:rPr>
            <w:br/>
          </w:r>
          <w:r w:rsidRPr="00F515C5">
            <w:rPr>
              <w:sz w:val="16"/>
              <w:szCs w:val="16"/>
            </w:rPr>
            <w:t xml:space="preserve">Giltigt Till: </w:t>
          </w:r>
          <w:bookmarkStart w:id="3" w:name="ShortValidToDate_Repeat"/>
          <w:r w:rsidR="00F40667">
            <w:rPr>
              <w:sz w:val="16"/>
              <w:szCs w:val="16"/>
            </w:rPr>
            <w:t>2015-06-10</w:t>
          </w:r>
          <w:bookmarkEnd w:id="3"/>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F40667" w:rsidP="00ED665A">
          <w:pPr>
            <w:rPr>
              <w:sz w:val="18"/>
              <w:szCs w:val="18"/>
            </w:rPr>
          </w:pPr>
          <w:bookmarkStart w:id="4" w:name="Verksamhetstyp_Repeat"/>
          <w:r>
            <w:rPr>
              <w:sz w:val="18"/>
              <w:szCs w:val="18"/>
            </w:rPr>
            <w:t>3.05.01 Kirurgi</w:t>
          </w:r>
          <w:bookmarkEnd w:id="4"/>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F40667" w:rsidP="00C9569D">
          <w:pPr>
            <w:rPr>
              <w:b/>
              <w:sz w:val="18"/>
              <w:szCs w:val="18"/>
            </w:rPr>
          </w:pPr>
          <w:bookmarkStart w:id="5" w:name="Establisher_Repeat"/>
          <w:r>
            <w:rPr>
              <w:b/>
              <w:sz w:val="18"/>
              <w:szCs w:val="18"/>
            </w:rPr>
            <w:t>Fredrik Hjern</w:t>
          </w:r>
          <w:bookmarkEnd w:id="5"/>
        </w:p>
      </w:tc>
    </w:tr>
  </w:tbl>
  <w:p w:rsidR="00D911C9" w:rsidRDefault="00AA7ADD"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F40667" w:rsidP="00D911C9">
          <w:pPr>
            <w:pStyle w:val="Etikett"/>
            <w:rPr>
              <w:sz w:val="18"/>
              <w:szCs w:val="18"/>
            </w:rPr>
          </w:pPr>
          <w:bookmarkStart w:id="6" w:name="title"/>
          <w:r>
            <w:rPr>
              <w:sz w:val="18"/>
              <w:szCs w:val="18"/>
            </w:rPr>
            <w:t>Divertikulit, uppföljning av patienter</w:t>
          </w:r>
          <w:bookmarkEnd w:id="6"/>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F40667" w:rsidP="00D911C9">
          <w:pPr>
            <w:pStyle w:val="Etikett"/>
            <w:rPr>
              <w:b/>
              <w:sz w:val="18"/>
              <w:szCs w:val="18"/>
            </w:rPr>
          </w:pPr>
          <w:bookmarkStart w:id="7" w:name="Dokumenttyp"/>
          <w:r>
            <w:rPr>
              <w:b/>
              <w:sz w:val="18"/>
              <w:szCs w:val="18"/>
            </w:rPr>
            <w:t>Riktlinje (rutin, PM)</w:t>
          </w:r>
          <w:bookmarkEnd w:id="7"/>
        </w:p>
      </w:tc>
      <w:tc>
        <w:tcPr>
          <w:tcW w:w="1985" w:type="dxa"/>
        </w:tcPr>
        <w:p w:rsidR="00D911C9" w:rsidRPr="00F515C5" w:rsidRDefault="00D911C9" w:rsidP="00D911C9">
          <w:pPr>
            <w:rPr>
              <w:b/>
              <w:sz w:val="16"/>
              <w:szCs w:val="16"/>
            </w:rPr>
          </w:pPr>
          <w:r w:rsidRPr="00ED665A">
            <w:rPr>
              <w:sz w:val="16"/>
              <w:szCs w:val="16"/>
            </w:rPr>
            <w:t xml:space="preserve">Giltigt från: </w:t>
          </w:r>
          <w:bookmarkStart w:id="8" w:name="validFrom"/>
          <w:r w:rsidR="00F40667">
            <w:rPr>
              <w:sz w:val="16"/>
              <w:szCs w:val="16"/>
            </w:rPr>
            <w:t>2011-05-25</w:t>
          </w:r>
          <w:bookmarkEnd w:id="8"/>
        </w:p>
        <w:p w:rsidR="00D911C9" w:rsidRPr="00ED665A" w:rsidRDefault="00D911C9" w:rsidP="00A97A99">
          <w:pPr>
            <w:rPr>
              <w:sz w:val="18"/>
              <w:szCs w:val="18"/>
            </w:rPr>
          </w:pPr>
          <w:r w:rsidRPr="00F515C5">
            <w:rPr>
              <w:sz w:val="16"/>
              <w:szCs w:val="16"/>
            </w:rPr>
            <w:t xml:space="preserve">Giltigt Till: </w:t>
          </w:r>
          <w:bookmarkStart w:id="9" w:name="ShortValidToDate"/>
          <w:r w:rsidR="00F40667">
            <w:rPr>
              <w:sz w:val="16"/>
              <w:szCs w:val="16"/>
            </w:rPr>
            <w:t>2015-06-10</w:t>
          </w:r>
          <w:bookmarkEnd w:id="9"/>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F40667" w:rsidP="00D911C9">
          <w:pPr>
            <w:rPr>
              <w:sz w:val="18"/>
              <w:szCs w:val="18"/>
            </w:rPr>
          </w:pPr>
          <w:bookmarkStart w:id="10" w:name="Verksamhetstyp"/>
          <w:r>
            <w:rPr>
              <w:sz w:val="18"/>
              <w:szCs w:val="18"/>
            </w:rPr>
            <w:t>3.05.01 Kirurgi</w:t>
          </w:r>
          <w:bookmarkEnd w:id="10"/>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F40667" w:rsidP="00D911C9">
          <w:pPr>
            <w:rPr>
              <w:b/>
              <w:sz w:val="18"/>
              <w:szCs w:val="18"/>
            </w:rPr>
          </w:pPr>
          <w:bookmarkStart w:id="11" w:name="Establisher"/>
          <w:r>
            <w:rPr>
              <w:b/>
              <w:sz w:val="18"/>
              <w:szCs w:val="18"/>
            </w:rPr>
            <w:t>Fredrik Hjern</w:t>
          </w:r>
          <w:bookmarkEnd w:id="11"/>
        </w:p>
      </w:tc>
    </w:tr>
  </w:tbl>
  <w:p w:rsidR="00D911C9" w:rsidRDefault="00AA7ADD">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3">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24938A5"/>
    <w:multiLevelType w:val="hybridMultilevel"/>
    <w:tmpl w:val="C62285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Arial" w:hint="default"/>
      </w:rPr>
    </w:lvl>
    <w:lvl w:ilvl="2" w:tplc="041D0005">
      <w:start w:val="1"/>
      <w:numFmt w:val="bullet"/>
      <w:lvlText w:val=""/>
      <w:lvlJc w:val="left"/>
      <w:pPr>
        <w:ind w:left="2160" w:hanging="360"/>
      </w:pPr>
      <w:rPr>
        <w:rFonts w:ascii="Wingdings" w:hAnsi="Wingdings" w:hint="default"/>
      </w:rPr>
    </w:lvl>
    <w:lvl w:ilvl="3" w:tplc="041D0001">
      <w:start w:val="1"/>
      <w:numFmt w:val="decimal"/>
      <w:lvlText w:val="%4."/>
      <w:lvlJc w:val="left"/>
      <w:pPr>
        <w:tabs>
          <w:tab w:val="num" w:pos="2880"/>
        </w:tabs>
        <w:ind w:left="2880" w:hanging="360"/>
      </w:pPr>
    </w:lvl>
    <w:lvl w:ilvl="4" w:tplc="041D0003">
      <w:start w:val="1"/>
      <w:numFmt w:val="decimal"/>
      <w:lvlText w:val="%5."/>
      <w:lvlJc w:val="left"/>
      <w:pPr>
        <w:tabs>
          <w:tab w:val="num" w:pos="3600"/>
        </w:tabs>
        <w:ind w:left="3600" w:hanging="360"/>
      </w:pPr>
    </w:lvl>
    <w:lvl w:ilvl="5" w:tplc="041D0005">
      <w:start w:val="1"/>
      <w:numFmt w:val="decimal"/>
      <w:lvlText w:val="%6."/>
      <w:lvlJc w:val="left"/>
      <w:pPr>
        <w:tabs>
          <w:tab w:val="num" w:pos="4320"/>
        </w:tabs>
        <w:ind w:left="4320" w:hanging="360"/>
      </w:pPr>
    </w:lvl>
    <w:lvl w:ilvl="6" w:tplc="041D0001">
      <w:start w:val="1"/>
      <w:numFmt w:val="decimal"/>
      <w:lvlText w:val="%7."/>
      <w:lvlJc w:val="left"/>
      <w:pPr>
        <w:tabs>
          <w:tab w:val="num" w:pos="5040"/>
        </w:tabs>
        <w:ind w:left="5040" w:hanging="360"/>
      </w:pPr>
    </w:lvl>
    <w:lvl w:ilvl="7" w:tplc="041D0003">
      <w:start w:val="1"/>
      <w:numFmt w:val="decimal"/>
      <w:lvlText w:val="%8."/>
      <w:lvlJc w:val="left"/>
      <w:pPr>
        <w:tabs>
          <w:tab w:val="num" w:pos="5760"/>
        </w:tabs>
        <w:ind w:left="5760" w:hanging="360"/>
      </w:pPr>
    </w:lvl>
    <w:lvl w:ilvl="8" w:tplc="041D0005">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 w:numId="5">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6099F"/>
    <w:rsid w:val="000678E0"/>
    <w:rsid w:val="0007782C"/>
    <w:rsid w:val="00152BC1"/>
    <w:rsid w:val="001737E1"/>
    <w:rsid w:val="00195111"/>
    <w:rsid w:val="001A00FB"/>
    <w:rsid w:val="001B61E5"/>
    <w:rsid w:val="00234DF5"/>
    <w:rsid w:val="002C3418"/>
    <w:rsid w:val="002E14DC"/>
    <w:rsid w:val="002F110A"/>
    <w:rsid w:val="0030489B"/>
    <w:rsid w:val="003212A1"/>
    <w:rsid w:val="00326618"/>
    <w:rsid w:val="00364FB4"/>
    <w:rsid w:val="00371B17"/>
    <w:rsid w:val="003A0C63"/>
    <w:rsid w:val="003D6625"/>
    <w:rsid w:val="00415AB4"/>
    <w:rsid w:val="0041789A"/>
    <w:rsid w:val="00444D6F"/>
    <w:rsid w:val="004763DB"/>
    <w:rsid w:val="00493DCE"/>
    <w:rsid w:val="0052524C"/>
    <w:rsid w:val="00556322"/>
    <w:rsid w:val="005816A8"/>
    <w:rsid w:val="005962B5"/>
    <w:rsid w:val="005B3339"/>
    <w:rsid w:val="005C2B39"/>
    <w:rsid w:val="005F67A8"/>
    <w:rsid w:val="00600E41"/>
    <w:rsid w:val="006110E2"/>
    <w:rsid w:val="006718F7"/>
    <w:rsid w:val="00687A7C"/>
    <w:rsid w:val="00691FBE"/>
    <w:rsid w:val="006A6641"/>
    <w:rsid w:val="006C0123"/>
    <w:rsid w:val="006C4BCD"/>
    <w:rsid w:val="006C520E"/>
    <w:rsid w:val="006E57E1"/>
    <w:rsid w:val="006F1E36"/>
    <w:rsid w:val="007075F8"/>
    <w:rsid w:val="007402D9"/>
    <w:rsid w:val="00751C58"/>
    <w:rsid w:val="00814AA6"/>
    <w:rsid w:val="008171BD"/>
    <w:rsid w:val="00876367"/>
    <w:rsid w:val="008E5CF5"/>
    <w:rsid w:val="00944B25"/>
    <w:rsid w:val="009613FB"/>
    <w:rsid w:val="009B0EDD"/>
    <w:rsid w:val="009F01F4"/>
    <w:rsid w:val="00A0638C"/>
    <w:rsid w:val="00A93A11"/>
    <w:rsid w:val="00A97A99"/>
    <w:rsid w:val="00AA7ADD"/>
    <w:rsid w:val="00AF0162"/>
    <w:rsid w:val="00B0735E"/>
    <w:rsid w:val="00B42060"/>
    <w:rsid w:val="00BE0807"/>
    <w:rsid w:val="00BF5978"/>
    <w:rsid w:val="00C156AD"/>
    <w:rsid w:val="00C56BED"/>
    <w:rsid w:val="00C9569D"/>
    <w:rsid w:val="00CD5628"/>
    <w:rsid w:val="00CE5912"/>
    <w:rsid w:val="00D133C0"/>
    <w:rsid w:val="00D530D0"/>
    <w:rsid w:val="00D64C71"/>
    <w:rsid w:val="00D911C9"/>
    <w:rsid w:val="00DA4A36"/>
    <w:rsid w:val="00DD1FC3"/>
    <w:rsid w:val="00DF73E9"/>
    <w:rsid w:val="00E40E93"/>
    <w:rsid w:val="00E600B7"/>
    <w:rsid w:val="00E75F36"/>
    <w:rsid w:val="00E86892"/>
    <w:rsid w:val="00EA3668"/>
    <w:rsid w:val="00EB0979"/>
    <w:rsid w:val="00EC50A4"/>
    <w:rsid w:val="00ED665A"/>
    <w:rsid w:val="00EE2E41"/>
    <w:rsid w:val="00F40667"/>
    <w:rsid w:val="00F515C5"/>
    <w:rsid w:val="00F715D9"/>
    <w:rsid w:val="00FC100F"/>
    <w:rsid w:val="00FC50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qFormat/>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s>
</file>

<file path=word/webSettings.xml><?xml version="1.0" encoding="utf-8"?>
<w:webSettings xmlns:r="http://schemas.openxmlformats.org/officeDocument/2006/relationships" xmlns:w="http://schemas.openxmlformats.org/wordprocessingml/2006/main">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1961</Characters>
  <Application>Microsoft Office Word</Application>
  <DocSecurity>8</DocSecurity>
  <Lines>16</Lines>
  <Paragraphs>4</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2326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kirhnig</cp:lastModifiedBy>
  <cp:revision>2</cp:revision>
  <cp:lastPrinted>2007-02-20T07:57:00Z</cp:lastPrinted>
  <dcterms:created xsi:type="dcterms:W3CDTF">2014-12-19T10:34:00Z</dcterms:created>
  <dcterms:modified xsi:type="dcterms:W3CDTF">2014-12-19T10:34:00Z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