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A84B45" w:rsidRDefault="009F030C" w:rsidP="0030489B">
      <w:pPr>
        <w:pStyle w:val="Rubrik1"/>
      </w:pPr>
      <w:bookmarkStart w:id="0" w:name="title_Repeat"/>
      <w:r>
        <w:t xml:space="preserve">In- och utfartsvägar hos patient, rutin för märkning, kirurg- och urologkliniken </w:t>
      </w:r>
      <w:bookmarkEnd w:id="0"/>
    </w:p>
    <w:p w:rsidR="00050725" w:rsidRDefault="00050725" w:rsidP="0030489B"/>
    <w:p w:rsidR="00050725" w:rsidRDefault="00050725" w:rsidP="00050725">
      <w:pPr>
        <w:pStyle w:val="Dokumenttitel"/>
      </w:pPr>
      <w:r>
        <w:t>Lokal instruktion</w:t>
      </w:r>
    </w:p>
    <w:p w:rsidR="00050725" w:rsidRDefault="00050725" w:rsidP="00050725">
      <w:r>
        <w:t>På kirurg- och urologkliniken undantas kvarliggande kateter i urinblåsan (KAD) samt syrgaskateter från nedanstående rutin angående märkning av in- och utfartsvägar hos patient. Dessa behöver ej märkas. Förövrigt gäller nedanstående förfarande vid märkning av in- och utfartsvägar.</w:t>
      </w:r>
    </w:p>
    <w:p w:rsidR="00050725" w:rsidRDefault="00050725" w:rsidP="00050725">
      <w:pPr>
        <w:pStyle w:val="Dokumenttitel"/>
      </w:pPr>
      <w:r>
        <w:t>Bakgrund</w:t>
      </w:r>
    </w:p>
    <w:p w:rsidR="00050725" w:rsidRDefault="00050725" w:rsidP="00050725">
      <w:r>
        <w:t xml:space="preserve">Om patienten har flera in- och utfartsvägar finns det stor risk för förväxling. Genom att noga märka katetrar, sonder och dränage minskar risken att förväxling ska ske. Enhetlig, enkel och tydlig märkning minskar också förväxlingsrisken mellan olika sjukhus och vårdinrättningar. Socialstyrelsen har beskrivit förväxlingsrisken mellan CVK och EDK (1). I Vårdhandboken beskrivs hur märkning skall ske (2). Denna anvisning för Danderyds sjukhus AB beskriver ansvar för märkning, hur märkning skall utföras samt dokumentation. </w:t>
      </w:r>
    </w:p>
    <w:p w:rsidR="00050725" w:rsidRDefault="00050725" w:rsidP="00050725">
      <w:pPr>
        <w:pStyle w:val="Dokumenttitel"/>
      </w:pPr>
      <w:r>
        <w:t xml:space="preserve">Ansvariga för märkning av in- och utfartsvägar </w:t>
      </w:r>
    </w:p>
    <w:p w:rsidR="00050725" w:rsidRDefault="00050725" w:rsidP="00050725">
      <w:r>
        <w:t xml:space="preserve">In- och utfartsvägar ska vara märkta enligt Vårdhandbokens riktlinjer så att ingen tvekan kan uppstå beträffande funktion. Om exempelvis en sond används som dränage ska denna märkas med funktion, dvs. dränage.  </w:t>
      </w:r>
    </w:p>
    <w:p w:rsidR="00050725" w:rsidRDefault="00050725" w:rsidP="00050725">
      <w:pPr>
        <w:numPr>
          <w:ilvl w:val="0"/>
          <w:numId w:val="5"/>
        </w:numPr>
      </w:pPr>
      <w:r>
        <w:t xml:space="preserve">Märkning av in- och utfartsvägar ska göras av sjuksköterska eller läkare eller anläggare. </w:t>
      </w:r>
    </w:p>
    <w:p w:rsidR="00050725" w:rsidRDefault="00050725" w:rsidP="00050725">
      <w:pPr>
        <w:numPr>
          <w:ilvl w:val="0"/>
          <w:numId w:val="5"/>
        </w:numPr>
      </w:pPr>
      <w:r>
        <w:t xml:space="preserve">Byte av märkning ska göras av sjuksköterska eller läkare. </w:t>
      </w:r>
    </w:p>
    <w:p w:rsidR="00050725" w:rsidRDefault="00050725" w:rsidP="00050725">
      <w:pPr>
        <w:pStyle w:val="Dokumenttitel"/>
      </w:pPr>
      <w:r>
        <w:t xml:space="preserve">Märkning </w:t>
      </w:r>
    </w:p>
    <w:p w:rsidR="00050725" w:rsidRDefault="00050725" w:rsidP="00050725">
      <w:pPr>
        <w:numPr>
          <w:ilvl w:val="0"/>
          <w:numId w:val="5"/>
        </w:numPr>
      </w:pPr>
      <w:r>
        <w:t xml:space="preserve">Märkning av in- och utfartsvägar ska ske vid inläggning av in- och utfartsvägar. </w:t>
      </w:r>
    </w:p>
    <w:p w:rsidR="00050725" w:rsidRDefault="00050725" w:rsidP="00050725">
      <w:pPr>
        <w:numPr>
          <w:ilvl w:val="0"/>
          <w:numId w:val="5"/>
        </w:numPr>
      </w:pPr>
      <w:r>
        <w:t xml:space="preserve">Märkning ska ske så nära koppling eller anslutningsslang som möjligt. </w:t>
      </w:r>
    </w:p>
    <w:p w:rsidR="00050725" w:rsidRDefault="00050725" w:rsidP="00050725">
      <w:pPr>
        <w:numPr>
          <w:ilvl w:val="0"/>
          <w:numId w:val="5"/>
        </w:numPr>
      </w:pPr>
      <w:r>
        <w:t>Följande märkningar rekommenderas, se lista nedan.</w:t>
      </w:r>
    </w:p>
    <w:p w:rsidR="00050725" w:rsidRDefault="00050725" w:rsidP="00050725">
      <w:pPr>
        <w:numPr>
          <w:ilvl w:val="0"/>
          <w:numId w:val="5"/>
        </w:numPr>
      </w:pPr>
      <w:r>
        <w:t xml:space="preserve">Vid förkortningar används versaler, annars gemena bokstäver. </w:t>
      </w:r>
    </w:p>
    <w:p w:rsidR="00050725" w:rsidRDefault="00050725" w:rsidP="00050725">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1800"/>
        <w:gridCol w:w="3960"/>
      </w:tblGrid>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b/>
                <w:bCs/>
                <w:sz w:val="20"/>
                <w:szCs w:val="20"/>
              </w:rPr>
            </w:pPr>
            <w:r>
              <w:rPr>
                <w:b/>
                <w:bCs/>
                <w:sz w:val="20"/>
                <w:szCs w:val="20"/>
              </w:rPr>
              <w:t>Rekommendation</w:t>
            </w:r>
          </w:p>
        </w:tc>
        <w:tc>
          <w:tcPr>
            <w:tcW w:w="1800" w:type="dxa"/>
            <w:tcBorders>
              <w:top w:val="single" w:sz="4" w:space="0" w:color="auto"/>
              <w:left w:val="single" w:sz="4" w:space="0" w:color="auto"/>
              <w:bottom w:val="single" w:sz="4" w:space="0" w:color="auto"/>
              <w:right w:val="single" w:sz="4" w:space="0" w:color="auto"/>
            </w:tcBorders>
            <w:hideMark/>
          </w:tcPr>
          <w:p w:rsidR="00050725" w:rsidRDefault="00050725">
            <w:pPr>
              <w:rPr>
                <w:b/>
                <w:bCs/>
                <w:sz w:val="20"/>
                <w:szCs w:val="20"/>
              </w:rPr>
            </w:pPr>
            <w:r>
              <w:rPr>
                <w:b/>
                <w:bCs/>
                <w:sz w:val="20"/>
                <w:szCs w:val="20"/>
              </w:rPr>
              <w:t>Alternativ</w:t>
            </w: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b/>
                <w:bCs/>
                <w:sz w:val="20"/>
                <w:szCs w:val="20"/>
              </w:rPr>
            </w:pPr>
            <w:r>
              <w:rPr>
                <w:b/>
                <w:bCs/>
                <w:sz w:val="20"/>
                <w:szCs w:val="20"/>
              </w:rPr>
              <w:t>Förklaring</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Artär</w:t>
            </w:r>
          </w:p>
        </w:tc>
        <w:tc>
          <w:tcPr>
            <w:tcW w:w="180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Artärkateter</w:t>
            </w: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CDK</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Central dialyskateter</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CVK</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Central venkateter</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Dränage</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Epidural</w:t>
            </w:r>
          </w:p>
        </w:tc>
        <w:tc>
          <w:tcPr>
            <w:tcW w:w="180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Epiduralkateter</w:t>
            </w: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Feeding jejunostomi</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Gastrostomi</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i/>
                <w:iCs/>
                <w:sz w:val="20"/>
                <w:szCs w:val="20"/>
              </w:rPr>
            </w:pPr>
            <w:r>
              <w:rPr>
                <w:i/>
                <w:iCs/>
                <w:sz w:val="20"/>
                <w:szCs w:val="20"/>
              </w:rPr>
              <w:t>KAD</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i/>
                <w:iCs/>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i/>
                <w:iCs/>
                <w:sz w:val="20"/>
                <w:szCs w:val="20"/>
              </w:rPr>
            </w:pPr>
            <w:r>
              <w:rPr>
                <w:i/>
                <w:iCs/>
                <w:sz w:val="20"/>
                <w:szCs w:val="20"/>
              </w:rPr>
              <w:t>Kvarliggande kateter i urinblåsa. Undantas från märkning  på kirurg- och urologkliniken.</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Nefrostomi</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PEG</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Perkutan Endoskopisk Gastrostomi</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Perifier blockad</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Ange vilken blockad</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 xml:space="preserve">PICCline </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Perifert inlagd central venkateter</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PVK</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 xml:space="preserve">Perifer venkateter </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Spinalkateter</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i/>
                <w:sz w:val="20"/>
                <w:szCs w:val="20"/>
              </w:rPr>
            </w:pPr>
            <w:r>
              <w:rPr>
                <w:i/>
                <w:sz w:val="20"/>
                <w:szCs w:val="20"/>
              </w:rPr>
              <w:t>Röd text på vit botten</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Subcutan venport</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Suprapubiskateter</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i/>
                <w:iCs/>
                <w:sz w:val="20"/>
                <w:szCs w:val="20"/>
              </w:rPr>
            </w:pPr>
            <w:r>
              <w:rPr>
                <w:i/>
                <w:iCs/>
                <w:sz w:val="20"/>
                <w:szCs w:val="20"/>
              </w:rPr>
              <w:t>Syrgaskateter</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i/>
                <w:iCs/>
                <w:sz w:val="20"/>
                <w:szCs w:val="20"/>
              </w:rPr>
              <w:t>Undantas från märkning  på kirurg- och urologkliniken.</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Thoraxdrän</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Bulow-drän</w:t>
            </w:r>
          </w:p>
        </w:tc>
      </w:tr>
      <w:tr w:rsidR="00050725" w:rsidTr="00050725">
        <w:tc>
          <w:tcPr>
            <w:tcW w:w="2088" w:type="dxa"/>
            <w:tcBorders>
              <w:top w:val="single" w:sz="4" w:space="0" w:color="auto"/>
              <w:left w:val="single" w:sz="4" w:space="0" w:color="auto"/>
              <w:bottom w:val="single" w:sz="4" w:space="0" w:color="auto"/>
              <w:right w:val="single" w:sz="4" w:space="0" w:color="auto"/>
            </w:tcBorders>
            <w:hideMark/>
          </w:tcPr>
          <w:p w:rsidR="00050725" w:rsidRDefault="00050725">
            <w:pPr>
              <w:rPr>
                <w:sz w:val="20"/>
                <w:szCs w:val="20"/>
              </w:rPr>
            </w:pPr>
            <w:r>
              <w:rPr>
                <w:sz w:val="20"/>
                <w:szCs w:val="20"/>
              </w:rPr>
              <w:t>Ventrikelsond</w:t>
            </w:r>
          </w:p>
        </w:tc>
        <w:tc>
          <w:tcPr>
            <w:tcW w:w="180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c>
          <w:tcPr>
            <w:tcW w:w="3960" w:type="dxa"/>
            <w:tcBorders>
              <w:top w:val="single" w:sz="4" w:space="0" w:color="auto"/>
              <w:left w:val="single" w:sz="4" w:space="0" w:color="auto"/>
              <w:bottom w:val="single" w:sz="4" w:space="0" w:color="auto"/>
              <w:right w:val="single" w:sz="4" w:space="0" w:color="auto"/>
            </w:tcBorders>
          </w:tcPr>
          <w:p w:rsidR="00050725" w:rsidRDefault="00050725">
            <w:pPr>
              <w:rPr>
                <w:sz w:val="20"/>
                <w:szCs w:val="20"/>
              </w:rPr>
            </w:pPr>
          </w:p>
        </w:tc>
      </w:tr>
    </w:tbl>
    <w:p w:rsidR="00050725" w:rsidRDefault="00050725" w:rsidP="00050725">
      <w:pPr>
        <w:rPr>
          <w:b/>
          <w:bCs/>
          <w:sz w:val="24"/>
        </w:rPr>
      </w:pPr>
    </w:p>
    <w:p w:rsidR="00050725" w:rsidRDefault="00050725" w:rsidP="00050725">
      <w:pPr>
        <w:rPr>
          <w:b/>
          <w:bCs/>
          <w:sz w:val="24"/>
        </w:rPr>
      </w:pPr>
    </w:p>
    <w:p w:rsidR="00050725" w:rsidRDefault="00050725" w:rsidP="00050725">
      <w:pPr>
        <w:rPr>
          <w:b/>
          <w:bCs/>
          <w:sz w:val="24"/>
        </w:rPr>
      </w:pPr>
      <w:r>
        <w:rPr>
          <w:b/>
          <w:bCs/>
          <w:sz w:val="24"/>
        </w:rPr>
        <w:t xml:space="preserve">Dokumentation </w:t>
      </w:r>
    </w:p>
    <w:p w:rsidR="00050725" w:rsidRDefault="00050725" w:rsidP="00050725">
      <w:pPr>
        <w:rPr>
          <w:szCs w:val="22"/>
        </w:rPr>
      </w:pPr>
      <w:r>
        <w:t xml:space="preserve">Inläggning av in- och utfartsvägar ska journalföras med angivande av: </w:t>
      </w:r>
    </w:p>
    <w:p w:rsidR="00050725" w:rsidRDefault="00050725" w:rsidP="00050725">
      <w:pPr>
        <w:numPr>
          <w:ilvl w:val="0"/>
          <w:numId w:val="6"/>
        </w:numPr>
      </w:pPr>
      <w:r>
        <w:t xml:space="preserve">Datum och tidpunkt för inläggning respektive omläggning </w:t>
      </w:r>
    </w:p>
    <w:p w:rsidR="00050725" w:rsidRDefault="00050725" w:rsidP="00050725">
      <w:pPr>
        <w:numPr>
          <w:ilvl w:val="0"/>
          <w:numId w:val="6"/>
        </w:numPr>
      </w:pPr>
      <w:r>
        <w:t xml:space="preserve">Till vilket organ in- och utfartsvägen är inlagd </w:t>
      </w:r>
    </w:p>
    <w:p w:rsidR="00050725" w:rsidRDefault="00050725" w:rsidP="00050725">
      <w:pPr>
        <w:numPr>
          <w:ilvl w:val="0"/>
          <w:numId w:val="6"/>
        </w:numPr>
      </w:pPr>
      <w:r>
        <w:t>Ändamål för in- och utfartsvägar.</w:t>
      </w:r>
    </w:p>
    <w:p w:rsidR="00050725" w:rsidRDefault="00050725" w:rsidP="00050725">
      <w:pPr>
        <w:rPr>
          <w:sz w:val="16"/>
          <w:szCs w:val="16"/>
        </w:rPr>
      </w:pPr>
    </w:p>
    <w:p w:rsidR="00050725" w:rsidRDefault="00050725" w:rsidP="00050725">
      <w:pPr>
        <w:numPr>
          <w:ilvl w:val="0"/>
          <w:numId w:val="7"/>
        </w:numPr>
        <w:rPr>
          <w:sz w:val="16"/>
          <w:szCs w:val="16"/>
        </w:rPr>
      </w:pPr>
      <w:r>
        <w:rPr>
          <w:sz w:val="16"/>
          <w:szCs w:val="16"/>
        </w:rPr>
        <w:t xml:space="preserve">Socialstyrelsen. </w:t>
      </w:r>
      <w:hyperlink r:id="rId7" w:history="1">
        <w:r>
          <w:rPr>
            <w:rStyle w:val="Hyperlnk"/>
            <w:sz w:val="16"/>
            <w:szCs w:val="16"/>
          </w:rPr>
          <w:t>Förkortningarna CVK och EDK är snarlika - en risk för förväxling</w:t>
        </w:r>
      </w:hyperlink>
      <w:r>
        <w:rPr>
          <w:sz w:val="16"/>
          <w:szCs w:val="16"/>
        </w:rPr>
        <w:t>. Riskstudie nummer 001, publicerad 2008-01-29 </w:t>
      </w:r>
    </w:p>
    <w:p w:rsidR="00050725" w:rsidRDefault="00050725" w:rsidP="00050725">
      <w:pPr>
        <w:numPr>
          <w:ilvl w:val="0"/>
          <w:numId w:val="7"/>
        </w:numPr>
        <w:rPr>
          <w:szCs w:val="22"/>
        </w:rPr>
      </w:pPr>
      <w:hyperlink r:id="rId8" w:history="1">
        <w:r>
          <w:rPr>
            <w:rStyle w:val="Hyperlnk"/>
            <w:sz w:val="16"/>
            <w:szCs w:val="16"/>
          </w:rPr>
          <w:t>Vårdhandboken. Märkning in- och utfartsvägar 2012-03-30</w:t>
        </w:r>
      </w:hyperlink>
    </w:p>
    <w:p w:rsidR="0030489B" w:rsidRPr="00A84B45" w:rsidRDefault="0030489B" w:rsidP="0030489B"/>
    <w:p w:rsidR="001B61E5" w:rsidRPr="00A84B45" w:rsidRDefault="001B61E5" w:rsidP="00DD1FC3"/>
    <w:p w:rsidR="0030489B" w:rsidRPr="00A84B45" w:rsidRDefault="0030489B" w:rsidP="00DD1FC3"/>
    <w:p w:rsidR="0030489B" w:rsidRPr="00A84B45" w:rsidRDefault="0030489B" w:rsidP="00DD1FC3"/>
    <w:sectPr w:rsidR="0030489B" w:rsidRPr="00A84B45" w:rsidSect="001737E1">
      <w:headerReference w:type="even" r:id="rId9"/>
      <w:headerReference w:type="default" r:id="rId10"/>
      <w:footerReference w:type="even" r:id="rId11"/>
      <w:footerReference w:type="default" r:id="rId12"/>
      <w:headerReference w:type="first" r:id="rId13"/>
      <w:footerReference w:type="first" r:id="rId14"/>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F50" w:rsidRDefault="00741F50" w:rsidP="006110E2">
      <w:r>
        <w:separator/>
      </w:r>
    </w:p>
  </w:endnote>
  <w:endnote w:type="continuationSeparator" w:id="0">
    <w:p w:rsidR="00741F50" w:rsidRDefault="00741F50"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9F030C"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9F030C"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9F030C"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9F030C" w:rsidP="00D911C9">
          <w:pPr>
            <w:rPr>
              <w:b/>
              <w:sz w:val="16"/>
              <w:szCs w:val="16"/>
            </w:rPr>
          </w:pPr>
          <w:bookmarkStart w:id="18" w:name="identifier"/>
          <w:r>
            <w:rPr>
              <w:b/>
              <w:sz w:val="16"/>
              <w:szCs w:val="16"/>
            </w:rPr>
            <w:t>DSVT-S-393171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F50" w:rsidRDefault="00741F50" w:rsidP="006110E2">
      <w:r>
        <w:separator/>
      </w:r>
    </w:p>
  </w:footnote>
  <w:footnote w:type="continuationSeparator" w:id="0">
    <w:p w:rsidR="00741F50" w:rsidRDefault="00741F50"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9F030C" w:rsidP="00C9569D">
          <w:pPr>
            <w:pStyle w:val="Etikett"/>
            <w:rPr>
              <w:sz w:val="18"/>
              <w:szCs w:val="18"/>
            </w:rPr>
          </w:pPr>
          <w:bookmarkStart w:id="1" w:name="title_Repeat1"/>
          <w:r>
            <w:rPr>
              <w:sz w:val="18"/>
              <w:szCs w:val="18"/>
            </w:rPr>
            <w:t xml:space="preserve">In- och utfartsvägar hos patient, rutin för märkning, kirurg- och urologkliniken </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9F030C"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9F030C">
            <w:rPr>
              <w:sz w:val="16"/>
              <w:szCs w:val="16"/>
            </w:rPr>
            <w:t>2012-09-06</w:t>
          </w:r>
          <w:bookmarkEnd w:id="3"/>
          <w:r w:rsidR="00C9569D">
            <w:rPr>
              <w:sz w:val="16"/>
              <w:szCs w:val="16"/>
            </w:rPr>
            <w:br/>
          </w:r>
          <w:r w:rsidRPr="00F515C5">
            <w:rPr>
              <w:sz w:val="16"/>
              <w:szCs w:val="16"/>
            </w:rPr>
            <w:t xml:space="preserve">Giltigt Till: </w:t>
          </w:r>
          <w:bookmarkStart w:id="4" w:name="ShortValidToDate_Repeat"/>
          <w:r w:rsidR="009F030C">
            <w:rPr>
              <w:sz w:val="16"/>
              <w:szCs w:val="16"/>
            </w:rPr>
            <w:t>2015-01-31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9F030C"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9F030C" w:rsidP="00C9569D">
          <w:pPr>
            <w:rPr>
              <w:b/>
              <w:sz w:val="18"/>
              <w:szCs w:val="18"/>
            </w:rPr>
          </w:pPr>
          <w:bookmarkStart w:id="6" w:name="Establisher_Repeat"/>
          <w:r>
            <w:rPr>
              <w:b/>
              <w:sz w:val="18"/>
              <w:szCs w:val="18"/>
            </w:rPr>
            <w:t>Anna Einald</w:t>
          </w:r>
          <w:bookmarkEnd w:id="6"/>
        </w:p>
      </w:tc>
    </w:tr>
  </w:tbl>
  <w:p w:rsidR="00D911C9" w:rsidRDefault="00DA6140"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9F030C" w:rsidP="00D911C9">
          <w:pPr>
            <w:pStyle w:val="Etikett"/>
            <w:rPr>
              <w:sz w:val="18"/>
              <w:szCs w:val="18"/>
            </w:rPr>
          </w:pPr>
          <w:bookmarkStart w:id="7" w:name="title"/>
          <w:r>
            <w:rPr>
              <w:sz w:val="18"/>
              <w:szCs w:val="18"/>
            </w:rPr>
            <w:t xml:space="preserve">In- och utfartsvägar hos patient, rutin för märkning, kirurg- och urologkliniken </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9F030C"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9F030C">
            <w:rPr>
              <w:sz w:val="16"/>
              <w:szCs w:val="16"/>
            </w:rPr>
            <w:t>2012-09-06</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9F030C">
            <w:rPr>
              <w:sz w:val="16"/>
              <w:szCs w:val="16"/>
            </w:rPr>
            <w:t>2015-01-31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9F030C"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9F030C" w:rsidP="00D911C9">
          <w:pPr>
            <w:rPr>
              <w:b/>
              <w:sz w:val="18"/>
              <w:szCs w:val="18"/>
            </w:rPr>
          </w:pPr>
          <w:bookmarkStart w:id="12" w:name="Establisher"/>
          <w:r>
            <w:rPr>
              <w:b/>
              <w:sz w:val="18"/>
              <w:szCs w:val="18"/>
            </w:rPr>
            <w:t>Anna Einald</w:t>
          </w:r>
          <w:bookmarkEnd w:id="12"/>
        </w:p>
      </w:tc>
    </w:tr>
  </w:tbl>
  <w:p w:rsidR="00D911C9" w:rsidRDefault="00DA6140">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95FA0"/>
    <w:multiLevelType w:val="hybridMultilevel"/>
    <w:tmpl w:val="9FE49EBA"/>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Times New Roman"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Times New Roman" w:hint="default"/>
      </w:rPr>
    </w:lvl>
    <w:lvl w:ilvl="5" w:tplc="041D0005">
      <w:start w:val="1"/>
      <w:numFmt w:val="bullet"/>
      <w:lvlText w:val=""/>
      <w:lvlJc w:val="left"/>
      <w:pPr>
        <w:tabs>
          <w:tab w:val="num" w:pos="4320"/>
        </w:tabs>
        <w:ind w:left="4320" w:hanging="360"/>
      </w:pPr>
      <w:rPr>
        <w:rFonts w:ascii="Wingdings" w:hAnsi="Wingdings" w:hint="default"/>
      </w:rPr>
    </w:lvl>
    <w:lvl w:ilvl="6" w:tplc="041D0001">
      <w:start w:val="1"/>
      <w:numFmt w:val="bullet"/>
      <w:lvlText w:val=""/>
      <w:lvlJc w:val="left"/>
      <w:pPr>
        <w:tabs>
          <w:tab w:val="num" w:pos="5040"/>
        </w:tabs>
        <w:ind w:left="5040" w:hanging="360"/>
      </w:pPr>
      <w:rPr>
        <w:rFonts w:ascii="Symbol" w:hAnsi="Symbol" w:hint="default"/>
      </w:rPr>
    </w:lvl>
    <w:lvl w:ilvl="7" w:tplc="041D0003">
      <w:start w:val="1"/>
      <w:numFmt w:val="bullet"/>
      <w:lvlText w:val="o"/>
      <w:lvlJc w:val="left"/>
      <w:pPr>
        <w:tabs>
          <w:tab w:val="num" w:pos="5760"/>
        </w:tabs>
        <w:ind w:left="5760" w:hanging="360"/>
      </w:pPr>
      <w:rPr>
        <w:rFonts w:ascii="Courier New" w:hAnsi="Courier New" w:cs="Times New Roman" w:hint="default"/>
      </w:rPr>
    </w:lvl>
    <w:lvl w:ilvl="8" w:tplc="041D0005">
      <w:start w:val="1"/>
      <w:numFmt w:val="bullet"/>
      <w:lvlText w:val=""/>
      <w:lvlJc w:val="left"/>
      <w:pPr>
        <w:tabs>
          <w:tab w:val="num" w:pos="6480"/>
        </w:tabs>
        <w:ind w:left="6480" w:hanging="360"/>
      </w:pPr>
      <w:rPr>
        <w:rFonts w:ascii="Wingdings" w:hAnsi="Wingdings" w:hint="default"/>
      </w:r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5E1A63DA"/>
    <w:multiLevelType w:val="hybridMultilevel"/>
    <w:tmpl w:val="D02EFF54"/>
    <w:lvl w:ilvl="0" w:tplc="041D000F">
      <w:start w:val="1"/>
      <w:numFmt w:val="decimal"/>
      <w:lvlText w:val="%1."/>
      <w:lvlJc w:val="left"/>
      <w:pPr>
        <w:tabs>
          <w:tab w:val="num" w:pos="720"/>
        </w:tabs>
        <w:ind w:left="720" w:hanging="360"/>
      </w:pPr>
      <w:rPr>
        <w:rFonts w:cs="Times New Roman"/>
      </w:rPr>
    </w:lvl>
    <w:lvl w:ilvl="1" w:tplc="041D0019">
      <w:start w:val="1"/>
      <w:numFmt w:val="lowerLetter"/>
      <w:lvlText w:val="%2."/>
      <w:lvlJc w:val="left"/>
      <w:pPr>
        <w:tabs>
          <w:tab w:val="num" w:pos="1440"/>
        </w:tabs>
        <w:ind w:left="1440" w:hanging="360"/>
      </w:pPr>
      <w:rPr>
        <w:rFonts w:cs="Times New Roman"/>
      </w:rPr>
    </w:lvl>
    <w:lvl w:ilvl="2" w:tplc="041D001B">
      <w:start w:val="1"/>
      <w:numFmt w:val="lowerRoman"/>
      <w:lvlText w:val="%3."/>
      <w:lvlJc w:val="right"/>
      <w:pPr>
        <w:tabs>
          <w:tab w:val="num" w:pos="2160"/>
        </w:tabs>
        <w:ind w:left="2160" w:hanging="180"/>
      </w:pPr>
      <w:rPr>
        <w:rFonts w:cs="Times New Roman"/>
      </w:rPr>
    </w:lvl>
    <w:lvl w:ilvl="3" w:tplc="041D000F">
      <w:start w:val="1"/>
      <w:numFmt w:val="decimal"/>
      <w:lvlText w:val="%4."/>
      <w:lvlJc w:val="left"/>
      <w:pPr>
        <w:tabs>
          <w:tab w:val="num" w:pos="2880"/>
        </w:tabs>
        <w:ind w:left="2880" w:hanging="360"/>
      </w:pPr>
      <w:rPr>
        <w:rFonts w:cs="Times New Roman"/>
      </w:rPr>
    </w:lvl>
    <w:lvl w:ilvl="4" w:tplc="041D0019">
      <w:start w:val="1"/>
      <w:numFmt w:val="lowerLetter"/>
      <w:lvlText w:val="%5."/>
      <w:lvlJc w:val="left"/>
      <w:pPr>
        <w:tabs>
          <w:tab w:val="num" w:pos="3600"/>
        </w:tabs>
        <w:ind w:left="3600" w:hanging="360"/>
      </w:pPr>
      <w:rPr>
        <w:rFonts w:cs="Times New Roman"/>
      </w:rPr>
    </w:lvl>
    <w:lvl w:ilvl="5" w:tplc="041D001B">
      <w:start w:val="1"/>
      <w:numFmt w:val="lowerRoman"/>
      <w:lvlText w:val="%6."/>
      <w:lvlJc w:val="right"/>
      <w:pPr>
        <w:tabs>
          <w:tab w:val="num" w:pos="4320"/>
        </w:tabs>
        <w:ind w:left="4320" w:hanging="180"/>
      </w:pPr>
      <w:rPr>
        <w:rFonts w:cs="Times New Roman"/>
      </w:rPr>
    </w:lvl>
    <w:lvl w:ilvl="6" w:tplc="041D000F">
      <w:start w:val="1"/>
      <w:numFmt w:val="decimal"/>
      <w:lvlText w:val="%7."/>
      <w:lvlJc w:val="left"/>
      <w:pPr>
        <w:tabs>
          <w:tab w:val="num" w:pos="5040"/>
        </w:tabs>
        <w:ind w:left="5040" w:hanging="360"/>
      </w:pPr>
      <w:rPr>
        <w:rFonts w:cs="Times New Roman"/>
      </w:rPr>
    </w:lvl>
    <w:lvl w:ilvl="7" w:tplc="041D0019">
      <w:start w:val="1"/>
      <w:numFmt w:val="lowerLetter"/>
      <w:lvlText w:val="%8."/>
      <w:lvlJc w:val="left"/>
      <w:pPr>
        <w:tabs>
          <w:tab w:val="num" w:pos="5760"/>
        </w:tabs>
        <w:ind w:left="5760" w:hanging="360"/>
      </w:pPr>
      <w:rPr>
        <w:rFonts w:cs="Times New Roman"/>
      </w:rPr>
    </w:lvl>
    <w:lvl w:ilvl="8" w:tplc="041D001B">
      <w:start w:val="1"/>
      <w:numFmt w:val="lowerRoman"/>
      <w:lvlText w:val="%9."/>
      <w:lvlJc w:val="right"/>
      <w:pPr>
        <w:tabs>
          <w:tab w:val="num" w:pos="6480"/>
        </w:tabs>
        <w:ind w:left="6480" w:hanging="180"/>
      </w:pPr>
      <w:rPr>
        <w:rFonts w:cs="Times New Roman"/>
      </w:rPr>
    </w:lvl>
  </w:abstractNum>
  <w:abstractNum w:abstractNumId="4">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5">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CB56D41"/>
    <w:multiLevelType w:val="hybridMultilevel"/>
    <w:tmpl w:val="1D9C6252"/>
    <w:lvl w:ilvl="0" w:tplc="041D0001">
      <w:start w:val="1"/>
      <w:numFmt w:val="bullet"/>
      <w:lvlText w:val=""/>
      <w:lvlJc w:val="left"/>
      <w:pPr>
        <w:tabs>
          <w:tab w:val="num" w:pos="720"/>
        </w:tabs>
        <w:ind w:left="720" w:hanging="360"/>
      </w:pPr>
      <w:rPr>
        <w:rFonts w:ascii="Symbol" w:hAnsi="Symbol" w:hint="default"/>
      </w:rPr>
    </w:lvl>
    <w:lvl w:ilvl="1" w:tplc="041D000F">
      <w:start w:val="1"/>
      <w:numFmt w:val="decimal"/>
      <w:lvlText w:val="%2."/>
      <w:lvlJc w:val="left"/>
      <w:pPr>
        <w:tabs>
          <w:tab w:val="num" w:pos="1440"/>
        </w:tabs>
        <w:ind w:left="1440" w:hanging="360"/>
      </w:pPr>
      <w:rPr>
        <w:rFonts w:cs="Times New Roman"/>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Times New Roman" w:hint="default"/>
      </w:rPr>
    </w:lvl>
    <w:lvl w:ilvl="5" w:tplc="041D0005">
      <w:start w:val="1"/>
      <w:numFmt w:val="bullet"/>
      <w:lvlText w:val=""/>
      <w:lvlJc w:val="left"/>
      <w:pPr>
        <w:tabs>
          <w:tab w:val="num" w:pos="4320"/>
        </w:tabs>
        <w:ind w:left="4320" w:hanging="360"/>
      </w:pPr>
      <w:rPr>
        <w:rFonts w:ascii="Wingdings" w:hAnsi="Wingdings" w:hint="default"/>
      </w:rPr>
    </w:lvl>
    <w:lvl w:ilvl="6" w:tplc="041D0001">
      <w:start w:val="1"/>
      <w:numFmt w:val="bullet"/>
      <w:lvlText w:val=""/>
      <w:lvlJc w:val="left"/>
      <w:pPr>
        <w:tabs>
          <w:tab w:val="num" w:pos="5040"/>
        </w:tabs>
        <w:ind w:left="5040" w:hanging="360"/>
      </w:pPr>
      <w:rPr>
        <w:rFonts w:ascii="Symbol" w:hAnsi="Symbol" w:hint="default"/>
      </w:rPr>
    </w:lvl>
    <w:lvl w:ilvl="7" w:tplc="041D0003">
      <w:start w:val="1"/>
      <w:numFmt w:val="bullet"/>
      <w:lvlText w:val="o"/>
      <w:lvlJc w:val="left"/>
      <w:pPr>
        <w:tabs>
          <w:tab w:val="num" w:pos="5760"/>
        </w:tabs>
        <w:ind w:left="5760" w:hanging="360"/>
      </w:pPr>
      <w:rPr>
        <w:rFonts w:ascii="Courier New" w:hAnsi="Courier New" w:cs="Times New Roman" w:hint="default"/>
      </w:rPr>
    </w:lvl>
    <w:lvl w:ilvl="8" w:tplc="041D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6"/>
    <w:lvlOverride w:ilvl="0"/>
    <w:lvlOverride w:ilvl="1">
      <w:startOverride w:val="1"/>
    </w:lvlOverride>
    <w:lvlOverride w:ilvl="2"/>
    <w:lvlOverride w:ilvl="3"/>
    <w:lvlOverride w:ilvl="4"/>
    <w:lvlOverride w:ilvl="5"/>
    <w:lvlOverride w:ilvl="6"/>
    <w:lvlOverride w:ilvl="7"/>
    <w:lvlOverride w:ilv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50725"/>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41F50"/>
    <w:rsid w:val="00751C58"/>
    <w:rsid w:val="00814AA6"/>
    <w:rsid w:val="008171BD"/>
    <w:rsid w:val="00876367"/>
    <w:rsid w:val="008E5CF5"/>
    <w:rsid w:val="00944B25"/>
    <w:rsid w:val="009613FB"/>
    <w:rsid w:val="009B0EDD"/>
    <w:rsid w:val="009F01F4"/>
    <w:rsid w:val="009F030C"/>
    <w:rsid w:val="00A0638C"/>
    <w:rsid w:val="00A84B45"/>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A6140"/>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styleId="Hyperlnk">
    <w:name w:val="Hyperlink"/>
    <w:basedOn w:val="Standardstycketeckensnitt"/>
    <w:semiHidden/>
    <w:unhideWhenUsed/>
    <w:rsid w:val="00050725"/>
    <w:rPr>
      <w:color w:val="0000FF"/>
      <w:u w:val="single"/>
    </w:rPr>
  </w:style>
</w:styles>
</file>

<file path=word/webSettings.xml><?xml version="1.0" encoding="utf-8"?>
<w:webSettings xmlns:r="http://schemas.openxmlformats.org/officeDocument/2006/relationships" xmlns:w="http://schemas.openxmlformats.org/wordprocessingml/2006/main">
  <w:divs>
    <w:div w:id="15559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vardhandboken.se/Texter/Markning-av-in--och-utfartsvagar/Oversik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ocialstyrelsen.se/Amnesord/patient_klientsakerhet/specnavigation/Erfarenheter/Riskstudier/riskstudie_001_visningsform.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2447</Characters>
  <Application>Microsoft Office Word</Application>
  <DocSecurity>8</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2903</CharactersWithSpaces>
  <SharedDoc>false</SharedDoc>
  <HLinks>
    <vt:vector size="12" baseType="variant">
      <vt:variant>
        <vt:i4>5373954</vt:i4>
      </vt:variant>
      <vt:variant>
        <vt:i4>3</vt:i4>
      </vt:variant>
      <vt:variant>
        <vt:i4>0</vt:i4>
      </vt:variant>
      <vt:variant>
        <vt:i4>5</vt:i4>
      </vt:variant>
      <vt:variant>
        <vt:lpwstr>http://www.vardhandboken.se/Texter/Markning-av-in--och-utfartsvagar/Oversikt/</vt:lpwstr>
      </vt:variant>
      <vt:variant>
        <vt:lpwstr/>
      </vt:variant>
      <vt:variant>
        <vt:i4>524404</vt:i4>
      </vt:variant>
      <vt:variant>
        <vt:i4>0</vt:i4>
      </vt:variant>
      <vt:variant>
        <vt:i4>0</vt:i4>
      </vt:variant>
      <vt:variant>
        <vt:i4>5</vt:i4>
      </vt:variant>
      <vt:variant>
        <vt:lpwstr>http://www.socialstyrelsen.se/Amnesord/patient_klientsakerhet/specnavigation/Erfarenheter/Riskstudier/riskstudie_001_visningsform.htm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2014-12-19T10:15:00Z</dcterms:created>
  <dcterms:modified xsi:type="dcterms:W3CDTF">2014-12-19T10:15:00Z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