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1C" w:rsidRDefault="00A0611C" w:rsidP="00A0611C"/>
    <w:p w:rsidR="00A0611C" w:rsidRPr="00A0611C" w:rsidRDefault="00A0611C" w:rsidP="00A0611C">
      <w:pPr>
        <w:spacing w:before="100" w:beforeAutospacing="1" w:after="100" w:afterAutospacing="1"/>
        <w:jc w:val="center"/>
        <w:rPr>
          <w:rFonts w:ascii="Arial" w:hAnsi="Arial" w:cs="Arial"/>
          <w:b/>
          <w:bCs/>
          <w:kern w:val="32"/>
          <w:sz w:val="32"/>
          <w:szCs w:val="32"/>
        </w:rPr>
      </w:pPr>
      <w:r w:rsidRPr="00A0611C">
        <w:rPr>
          <w:rFonts w:ascii="Arial" w:hAnsi="Arial" w:cs="Arial"/>
          <w:b/>
          <w:bCs/>
          <w:kern w:val="32"/>
          <w:sz w:val="32"/>
          <w:szCs w:val="32"/>
        </w:rPr>
        <w:t>Lokal instruktion för läkemedelshantering på Kirurg- och urologkliniken Danderyds Sjukhus AB</w:t>
      </w:r>
    </w:p>
    <w:p w:rsidR="00A0611C" w:rsidRDefault="00A0611C" w:rsidP="00A0611C">
      <w:pPr>
        <w:pStyle w:val="Rubrik1"/>
      </w:pPr>
      <w:bookmarkStart w:id="0" w:name="_Toc196295145"/>
    </w:p>
    <w:p w:rsidR="00A0611C" w:rsidRDefault="00A0611C" w:rsidP="00A0611C">
      <w:pPr>
        <w:pStyle w:val="Rubrik1"/>
      </w:pPr>
      <w:r>
        <w:t>Inledning</w:t>
      </w:r>
      <w:bookmarkEnd w:id="0"/>
      <w:r>
        <w:t xml:space="preserve"> </w:t>
      </w:r>
    </w:p>
    <w:p w:rsidR="00A0611C" w:rsidRDefault="00A0611C" w:rsidP="00A0611C">
      <w:r>
        <w:t>Den lokala instruktionen följer socialstyrelsens föreskrifter och allmänna råd om läkemedelshantering i hälso- och sjukvården (SOSFS 2000:1) samt ändring i föreskrifterna och allmänna råd om läkemedelshantering.</w:t>
      </w:r>
    </w:p>
    <w:p w:rsidR="00A0611C" w:rsidRDefault="00A0611C" w:rsidP="00A0611C"/>
    <w:p w:rsidR="00A0611C" w:rsidRDefault="00A0611C" w:rsidP="00A0611C">
      <w:r>
        <w:t xml:space="preserve">All läkemedelshantering vid Kirurg- och urologkliniken vid DSAB ska ha som mål att vara säker och effektiv för patient och personal samt ge så liten miljöpåverkan som möjligt. Den ska utgå från de föreskrifter och författningar som reglerar området (1, 2, 3, 4). Med läkemedelshantering avses iordningställande, administrering, rekvisition och förvaring av läkemedel.  </w:t>
      </w:r>
    </w:p>
    <w:p w:rsidR="00A0611C" w:rsidRDefault="00A0611C" w:rsidP="00A0611C">
      <w:pPr>
        <w:pStyle w:val="Rubrik1"/>
      </w:pPr>
      <w:bookmarkStart w:id="1" w:name="_Toc196290189"/>
      <w:bookmarkStart w:id="2" w:name="_Toc196292430"/>
      <w:bookmarkStart w:id="3" w:name="_Toc196295146"/>
      <w:r>
        <w:t>Ansvar för läkemedelshanteringen</w:t>
      </w:r>
      <w:bookmarkEnd w:id="1"/>
      <w:bookmarkEnd w:id="2"/>
      <w:bookmarkEnd w:id="3"/>
    </w:p>
    <w:p w:rsidR="00A0611C" w:rsidRDefault="00A0611C" w:rsidP="00A0611C">
      <w:r>
        <w:t xml:space="preserve">Det övergripande ansvaret för läkemedelshanteringen inom Kirurg- och urologkliniken har verksamhetschefen (1). Den medicinskt ansvarig överläkaren vid sluten- respektive öppenvård har ett övergripande ansvar för rutiner avseende ordinationer och hantering av läkemedel. </w:t>
      </w:r>
    </w:p>
    <w:p w:rsidR="00A0611C" w:rsidRDefault="00A0611C" w:rsidP="00A0611C"/>
    <w:p w:rsidR="00A0611C" w:rsidRDefault="00A0611C" w:rsidP="00A0611C">
      <w:r>
        <w:t>Ansvaret för avdelningens respektive mottagningens läkemedelsförråd samt den praktiska läkemedelshanteringen har chefsjuksköterskan vid respektive enhet. Verkställande av dessa riktlinjer åvilar chefsjuksköterskan på respektive enhet. I ansvaret ingår fortlöpande information och utbildning till avdelningens/mottagningens personal i den praktiska läkemedelshanteringen samt kvalitetssäkring inklusive avvikelsehantering.</w:t>
      </w:r>
    </w:p>
    <w:p w:rsidR="00A0611C" w:rsidRDefault="00A0611C" w:rsidP="00A0611C"/>
    <w:p w:rsidR="00A0611C" w:rsidRDefault="00A0611C" w:rsidP="00A0611C">
      <w:r>
        <w:t xml:space="preserve">Sjuksköterska med särskilt ansvar för läkemedel ansvarar för att läkemedelsförrådet gås igenom varje månad, kontrollerar utgångsdatum och kasserar utgångna läkemedel samt håller ordning i förrådet. </w:t>
      </w:r>
    </w:p>
    <w:p w:rsidR="00A0611C" w:rsidRDefault="00A0611C" w:rsidP="00A0611C"/>
    <w:p w:rsidR="00A0611C" w:rsidRDefault="00A0611C" w:rsidP="00A0611C">
      <w:r>
        <w:t xml:space="preserve">För namn på ansvariga enligt ovan, se PM </w:t>
      </w:r>
      <w:r>
        <w:rPr>
          <w:i/>
        </w:rPr>
        <w:t>Ansvar för läkemedelshantering samt förteckning över läkemedel utanför läkemedelsförråd</w:t>
      </w:r>
      <w:r>
        <w:t xml:space="preserve"> på respektive enhet inom kliniken.</w:t>
      </w:r>
    </w:p>
    <w:p w:rsidR="00A0611C" w:rsidRDefault="00A0611C" w:rsidP="00A0611C">
      <w:pPr>
        <w:rPr>
          <w:color w:val="FF0000"/>
        </w:rPr>
      </w:pPr>
    </w:p>
    <w:p w:rsidR="00A0611C" w:rsidRDefault="00A0611C" w:rsidP="00A0611C">
      <w:r>
        <w:t>Sjuksköterskan ansvarar i enlighet med sitt yrkesansvar för att läkarens ordinationer och anvisningar genomförs. Hon bedömer och iakttar effekt på patienten och ser till att kontakt tas med patientens läkare eller jourläkare om hon bedömer att patientens tillstånd kräver det.</w:t>
      </w:r>
    </w:p>
    <w:p w:rsidR="00A0611C" w:rsidRDefault="00A0611C" w:rsidP="00A0611C"/>
    <w:p w:rsidR="00A0611C" w:rsidRDefault="00A0611C" w:rsidP="00A0611C">
      <w:pPr>
        <w:pStyle w:val="Rubrik1"/>
      </w:pPr>
      <w:bookmarkStart w:id="4" w:name="_Toc196290190"/>
      <w:bookmarkStart w:id="5" w:name="_Toc196292431"/>
      <w:bookmarkStart w:id="6" w:name="_Toc196295147"/>
      <w:r>
        <w:t>Kvalitetsgranskning</w:t>
      </w:r>
      <w:bookmarkEnd w:id="4"/>
      <w:bookmarkEnd w:id="5"/>
      <w:bookmarkEnd w:id="6"/>
    </w:p>
    <w:p w:rsidR="00A0611C" w:rsidRDefault="00A0611C" w:rsidP="00A0611C">
      <w:r>
        <w:t>Läkemedelshanteringen genomgår en gång om året extern kvalitetsgranskning av farmaceut/receptarie från Sjukhusapoteket på Danderyds sjukhus.</w:t>
      </w:r>
    </w:p>
    <w:p w:rsidR="00A0611C" w:rsidRDefault="00A0611C" w:rsidP="00A0611C">
      <w:pPr>
        <w:pStyle w:val="Rubrik1"/>
      </w:pPr>
      <w:bookmarkStart w:id="7" w:name="_Toc196290191"/>
      <w:bookmarkStart w:id="8" w:name="_Toc196292432"/>
      <w:bookmarkStart w:id="9" w:name="_Toc196295148"/>
      <w:r>
        <w:t>Förvaring av läkemedel</w:t>
      </w:r>
      <w:bookmarkEnd w:id="7"/>
      <w:bookmarkEnd w:id="8"/>
      <w:bookmarkEnd w:id="9"/>
    </w:p>
    <w:p w:rsidR="00A0611C" w:rsidRPr="0051542E" w:rsidRDefault="00A0611C" w:rsidP="00A0611C">
      <w:r>
        <w:t xml:space="preserve">Läkemedel ska förvaras inlåsta och får endast om det är förenligt med en säker hantering förvaras utanför läkemedelsförråd. Läkemedelsvagn betraktas som förråd och ska hållas låst. Läkemedel som förvaras på akutväska eller akutvagn finns angivna i särskilda listor som förvaras vid väska/vagn. Utanför läkemedelsförråd får vissa läkemedel förvaras. Dessa läkemedel finns angivna i </w:t>
      </w:r>
      <w:r w:rsidRPr="0051542E">
        <w:t xml:space="preserve">PM </w:t>
      </w:r>
      <w:r w:rsidRPr="0051542E">
        <w:rPr>
          <w:i/>
        </w:rPr>
        <w:t xml:space="preserve">Läkemedelsansvar samt förteckning över läkemedel utanför läkemedelsförråd </w:t>
      </w:r>
      <w:r w:rsidRPr="0051542E">
        <w:t xml:space="preserve">för respektive enhet. </w:t>
      </w:r>
    </w:p>
    <w:p w:rsidR="00A0611C" w:rsidRDefault="00A0611C" w:rsidP="00A0611C">
      <w:pPr>
        <w:pStyle w:val="Rubrik1"/>
      </w:pPr>
      <w:bookmarkStart w:id="10" w:name="_Toc196290192"/>
      <w:bookmarkStart w:id="11" w:name="_Toc196292433"/>
      <w:bookmarkStart w:id="12" w:name="_Toc196295149"/>
      <w:r>
        <w:lastRenderedPageBreak/>
        <w:t>Tillträde till läkemedelsförråd</w:t>
      </w:r>
      <w:bookmarkEnd w:id="10"/>
      <w:bookmarkEnd w:id="11"/>
      <w:bookmarkEnd w:id="12"/>
    </w:p>
    <w:p w:rsidR="00A0611C" w:rsidRDefault="00A0611C" w:rsidP="00A0611C">
      <w:r>
        <w:t>Endast leg. sjuksköterskor äger rätt till nyckel eller kod till läkemedelsförrådet.</w:t>
      </w:r>
    </w:p>
    <w:p w:rsidR="00A0611C" w:rsidRDefault="00A0611C" w:rsidP="00A0611C">
      <w:pPr>
        <w:rPr>
          <w:color w:val="C0C0C0"/>
        </w:rPr>
      </w:pPr>
      <w:r>
        <w:rPr>
          <w:color w:val="C0C0C0"/>
        </w:rPr>
        <w:t>.</w:t>
      </w:r>
    </w:p>
    <w:p w:rsidR="00A0611C" w:rsidRDefault="00A0611C" w:rsidP="00A0611C">
      <w:pPr>
        <w:pStyle w:val="Rubrik1"/>
      </w:pPr>
      <w:bookmarkStart w:id="13" w:name="_Toc196290194"/>
      <w:bookmarkStart w:id="14" w:name="_Toc196292435"/>
      <w:bookmarkStart w:id="15" w:name="_Toc196295151"/>
      <w:r>
        <w:t>Rekvisition av läkemedel</w:t>
      </w:r>
      <w:bookmarkEnd w:id="13"/>
      <w:bookmarkEnd w:id="14"/>
      <w:bookmarkEnd w:id="15"/>
    </w:p>
    <w:p w:rsidR="00A0611C" w:rsidRPr="00C964B2" w:rsidRDefault="00A0611C" w:rsidP="00A0611C">
      <w:r>
        <w:t xml:space="preserve">Rekvirering av läkemedel, narkotikaklassade läkemedel och teknisk sprit sker </w:t>
      </w:r>
      <w:r w:rsidRPr="00C964B2">
        <w:rPr>
          <w:szCs w:val="22"/>
        </w:rPr>
        <w:t>av Apoteket vård och företag genom ApoEx enligt avtal.</w:t>
      </w:r>
      <w:r w:rsidRPr="00C964B2">
        <w:rPr>
          <w:sz w:val="24"/>
        </w:rPr>
        <w:t xml:space="preserve"> </w:t>
      </w:r>
      <w:r w:rsidRPr="00C964B2">
        <w:t xml:space="preserve">Under helger och helgdagar rekvireras akuta läkemedel direkt via ApoEx. </w:t>
      </w:r>
    </w:p>
    <w:p w:rsidR="00A0611C" w:rsidRPr="00C964B2" w:rsidRDefault="00A0611C" w:rsidP="00A0611C"/>
    <w:p w:rsidR="00A0611C" w:rsidRDefault="00A0611C" w:rsidP="00A0611C">
      <w:pPr>
        <w:pStyle w:val="Rubrik1"/>
      </w:pPr>
      <w:bookmarkStart w:id="16" w:name="_Toc196290195"/>
      <w:bookmarkStart w:id="17" w:name="_Toc196292436"/>
      <w:bookmarkStart w:id="18" w:name="_Toc196295152"/>
      <w:r>
        <w:t>Ordination av läkemedel</w:t>
      </w:r>
      <w:bookmarkEnd w:id="16"/>
      <w:bookmarkEnd w:id="17"/>
      <w:bookmarkEnd w:id="18"/>
    </w:p>
    <w:p w:rsidR="00A0611C" w:rsidRDefault="00A0611C" w:rsidP="00A0611C">
      <w:r>
        <w:t xml:space="preserve">Upphandlade och rekommenderade läkemedel bör i första hand ordineras (se </w:t>
      </w:r>
      <w:r>
        <w:rPr>
          <w:i/>
        </w:rPr>
        <w:t>Kloka listan</w:t>
      </w:r>
      <w:r>
        <w:t xml:space="preserve"> </w:t>
      </w:r>
      <w:hyperlink r:id="rId7" w:history="1">
        <w:r w:rsidRPr="009F0B39">
          <w:rPr>
            <w:rStyle w:val="Hyperlnk"/>
          </w:rPr>
          <w:t>http://www.janusinfo.se/Beslutsstod/Kl</w:t>
        </w:r>
        <w:r w:rsidRPr="009F0B39">
          <w:rPr>
            <w:rStyle w:val="Hyperlnk"/>
          </w:rPr>
          <w:t>o</w:t>
        </w:r>
        <w:r w:rsidRPr="009F0B39">
          <w:rPr>
            <w:rStyle w:val="Hyperlnk"/>
          </w:rPr>
          <w:t>ka-Listan/Kloka-listan-2013/</w:t>
        </w:r>
      </w:hyperlink>
      <w:r>
        <w:t xml:space="preserve"> ). Ordinationen ska vara korrekt från början för att uppnå en säker läkemedelsanvändning för patienten, samt för att underlätta sjuksköterskornas arbete vid iordningställandet.</w:t>
      </w:r>
    </w:p>
    <w:p w:rsidR="00A0611C" w:rsidRDefault="00A0611C" w:rsidP="00A0611C">
      <w:pPr>
        <w:numPr>
          <w:ilvl w:val="0"/>
          <w:numId w:val="6"/>
        </w:numPr>
        <w:rPr>
          <w:color w:val="000000"/>
        </w:rPr>
      </w:pPr>
      <w:r>
        <w:rPr>
          <w:color w:val="000000"/>
        </w:rPr>
        <w:t xml:space="preserve">Läkemedel ska som grundregel ordineras skriftligt och dokumenteras i patientens läkemedelsjournal. </w:t>
      </w:r>
    </w:p>
    <w:p w:rsidR="00A0611C" w:rsidRDefault="00A0611C" w:rsidP="00A0611C">
      <w:pPr>
        <w:numPr>
          <w:ilvl w:val="0"/>
          <w:numId w:val="6"/>
        </w:numPr>
        <w:rPr>
          <w:color w:val="000000"/>
        </w:rPr>
      </w:pPr>
      <w:r>
        <w:rPr>
          <w:color w:val="000000"/>
        </w:rPr>
        <w:t xml:space="preserve">Läkemedel får ordineras muntligt om patienten behöver läkemedlet akut eller per telefon om läkaren är förhindrad att komma till patienten. </w:t>
      </w:r>
    </w:p>
    <w:p w:rsidR="00A0611C" w:rsidRDefault="00A0611C" w:rsidP="00A0611C">
      <w:pPr>
        <w:numPr>
          <w:ilvl w:val="0"/>
          <w:numId w:val="6"/>
        </w:numPr>
      </w:pPr>
      <w:r>
        <w:t>Den läkare som ordinerat läkemedlet muntligt eller per telefon ska i efterhand snarast bekräfta denna med sin signatur i patientens läkemedelsjournal.</w:t>
      </w:r>
    </w:p>
    <w:p w:rsidR="00A0611C" w:rsidRDefault="00A0611C" w:rsidP="00A0611C">
      <w:pPr>
        <w:numPr>
          <w:ilvl w:val="0"/>
          <w:numId w:val="6"/>
        </w:numPr>
        <w:rPr>
          <w:color w:val="000000"/>
        </w:rPr>
      </w:pPr>
      <w:r>
        <w:rPr>
          <w:color w:val="000000"/>
        </w:rPr>
        <w:t xml:space="preserve">Den sjuksköterska som tar emot en telefonordination ska dokumentera och Spara och stänga den i läkemedelsjournalen. </w:t>
      </w:r>
      <w:r>
        <w:t>Detta görs i ordinerande läkares namn</w:t>
      </w:r>
      <w:r>
        <w:rPr>
          <w:color w:val="FF0000"/>
        </w:rPr>
        <w:t xml:space="preserve">. </w:t>
      </w:r>
    </w:p>
    <w:p w:rsidR="00A0611C" w:rsidRDefault="00A0611C" w:rsidP="00A0611C">
      <w:pPr>
        <w:numPr>
          <w:ilvl w:val="0"/>
          <w:numId w:val="6"/>
        </w:numPr>
        <w:rPr>
          <w:color w:val="000000"/>
        </w:rPr>
      </w:pPr>
      <w:r>
        <w:rPr>
          <w:color w:val="000000"/>
        </w:rPr>
        <w:t xml:space="preserve">En läkemedelsordination ska föras in i Läkemedelsjournalen och </w:t>
      </w:r>
      <w:r>
        <w:t xml:space="preserve">ska vara tydlig för varje enskilt läkemedel samt </w:t>
      </w:r>
      <w:r>
        <w:rPr>
          <w:color w:val="000000"/>
        </w:rPr>
        <w:t>innehålla uppgifter om:</w:t>
      </w:r>
    </w:p>
    <w:p w:rsidR="00A0611C" w:rsidRDefault="00A0611C" w:rsidP="00A0611C">
      <w:pPr>
        <w:numPr>
          <w:ilvl w:val="0"/>
          <w:numId w:val="5"/>
        </w:numPr>
        <w:rPr>
          <w:color w:val="000000"/>
        </w:rPr>
      </w:pPr>
      <w:r>
        <w:rPr>
          <w:color w:val="000000"/>
        </w:rPr>
        <w:t xml:space="preserve">läkemedlets namn </w:t>
      </w:r>
    </w:p>
    <w:p w:rsidR="00A0611C" w:rsidRDefault="00A0611C" w:rsidP="00A0611C">
      <w:pPr>
        <w:numPr>
          <w:ilvl w:val="0"/>
          <w:numId w:val="5"/>
        </w:numPr>
        <w:spacing w:before="100" w:beforeAutospacing="1" w:after="100" w:afterAutospacing="1"/>
        <w:rPr>
          <w:color w:val="000000"/>
        </w:rPr>
      </w:pPr>
      <w:r>
        <w:rPr>
          <w:color w:val="000000"/>
        </w:rPr>
        <w:t>läkemedelsform</w:t>
      </w:r>
    </w:p>
    <w:p w:rsidR="00A0611C" w:rsidRDefault="00A0611C" w:rsidP="00A0611C">
      <w:pPr>
        <w:numPr>
          <w:ilvl w:val="0"/>
          <w:numId w:val="5"/>
        </w:numPr>
        <w:spacing w:before="100" w:beforeAutospacing="1" w:after="100" w:afterAutospacing="1"/>
        <w:rPr>
          <w:color w:val="000000"/>
        </w:rPr>
      </w:pPr>
      <w:r>
        <w:rPr>
          <w:color w:val="000000"/>
        </w:rPr>
        <w:t>styrka</w:t>
      </w:r>
    </w:p>
    <w:p w:rsidR="00A0611C" w:rsidRDefault="00A0611C" w:rsidP="00A0611C">
      <w:pPr>
        <w:numPr>
          <w:ilvl w:val="0"/>
          <w:numId w:val="5"/>
        </w:numPr>
        <w:spacing w:before="100" w:beforeAutospacing="1" w:after="100" w:afterAutospacing="1"/>
        <w:rPr>
          <w:color w:val="000000"/>
        </w:rPr>
      </w:pPr>
      <w:r>
        <w:rPr>
          <w:color w:val="000000"/>
        </w:rPr>
        <w:t xml:space="preserve">dosering. Doseringen ska anges som antalet tabletter eller andra avdelade läkemedelsdoser eller läkemedlets volym per doseringstillfälle. </w:t>
      </w:r>
      <w:r>
        <w:t>Internationella enheter ska förkortas med E. Insulindos ska ordineras med angivande av enheter</w:t>
      </w:r>
    </w:p>
    <w:p w:rsidR="00A0611C" w:rsidRDefault="00A0611C" w:rsidP="00A0611C">
      <w:pPr>
        <w:numPr>
          <w:ilvl w:val="0"/>
          <w:numId w:val="5"/>
        </w:numPr>
        <w:spacing w:before="100" w:beforeAutospacing="1" w:after="100" w:afterAutospacing="1"/>
        <w:rPr>
          <w:color w:val="000000"/>
        </w:rPr>
      </w:pPr>
      <w:r>
        <w:rPr>
          <w:color w:val="000000"/>
        </w:rPr>
        <w:t>administreringssätt</w:t>
      </w:r>
    </w:p>
    <w:p w:rsidR="00A0611C" w:rsidRDefault="00A0611C" w:rsidP="00A0611C">
      <w:pPr>
        <w:numPr>
          <w:ilvl w:val="0"/>
          <w:numId w:val="5"/>
        </w:numPr>
        <w:spacing w:before="100" w:beforeAutospacing="1" w:after="100" w:afterAutospacing="1"/>
        <w:rPr>
          <w:color w:val="000000"/>
        </w:rPr>
      </w:pPr>
      <w:r>
        <w:rPr>
          <w:color w:val="000000"/>
        </w:rPr>
        <w:t>tidpunkterna för administrering (dosintervall)</w:t>
      </w:r>
    </w:p>
    <w:p w:rsidR="00A0611C" w:rsidRDefault="00A0611C" w:rsidP="00A0611C">
      <w:pPr>
        <w:numPr>
          <w:ilvl w:val="0"/>
          <w:numId w:val="5"/>
        </w:numPr>
        <w:spacing w:before="100" w:beforeAutospacing="1" w:after="100" w:afterAutospacing="1"/>
        <w:rPr>
          <w:color w:val="FF0000"/>
        </w:rPr>
      </w:pPr>
      <w:r>
        <w:t>Läkarens signatur. Detta behöver i efterhand signeras då sjuksköterskan ordinerat i läkares namn.</w:t>
      </w:r>
      <w:r>
        <w:rPr>
          <w:color w:val="FF0000"/>
        </w:rPr>
        <w:t xml:space="preserve"> </w:t>
      </w:r>
    </w:p>
    <w:p w:rsidR="00A0611C" w:rsidRPr="0051542E" w:rsidRDefault="00A0611C" w:rsidP="00A0611C">
      <w:pPr>
        <w:numPr>
          <w:ilvl w:val="0"/>
          <w:numId w:val="5"/>
        </w:numPr>
        <w:spacing w:before="100" w:beforeAutospacing="1" w:after="100" w:afterAutospacing="1"/>
        <w:rPr>
          <w:i/>
          <w:color w:val="000000"/>
        </w:rPr>
      </w:pPr>
      <w:r>
        <w:t xml:space="preserve">Antibiotika kan ordineras med mängden verksam substans och i övrigt sker automatiskt hänvisning till fastställt spädningsschema, se separat PM: </w:t>
      </w:r>
      <w:r w:rsidRPr="0051542E">
        <w:rPr>
          <w:i/>
        </w:rPr>
        <w:t>Spädnings- och administrationsschema för antibiotika</w:t>
      </w:r>
    </w:p>
    <w:p w:rsidR="00A0611C" w:rsidRDefault="00A0611C" w:rsidP="00A0611C">
      <w:pPr>
        <w:numPr>
          <w:ilvl w:val="0"/>
          <w:numId w:val="5"/>
        </w:numPr>
        <w:spacing w:before="100" w:beforeAutospacing="1" w:after="100" w:afterAutospacing="1"/>
        <w:rPr>
          <w:color w:val="000000"/>
        </w:rPr>
      </w:pPr>
      <w:r>
        <w:t>Hänvisning till spädningsschema respektive behandlingsschema kan göras av ordinerande läkare i ordinationshandlingen.</w:t>
      </w:r>
    </w:p>
    <w:p w:rsidR="00A0611C" w:rsidRPr="0051542E" w:rsidRDefault="00A0611C" w:rsidP="00A0611C">
      <w:pPr>
        <w:spacing w:before="100" w:beforeAutospacing="1" w:after="100" w:afterAutospacing="1"/>
        <w:ind w:left="420"/>
      </w:pPr>
      <w:r w:rsidRPr="0051542E">
        <w:t xml:space="preserve">För mer detaljerade instruktioner kring ordinationer, se nedanstående aktuella riktlinje; </w:t>
      </w:r>
      <w:r w:rsidRPr="0051542E">
        <w:rPr>
          <w:i/>
        </w:rPr>
        <w:t>Läkemedelsjournalen i Take Care – sjukhusövergripande riktlinje</w:t>
      </w:r>
      <w:r w:rsidRPr="0051542E">
        <w:t xml:space="preserve">  </w:t>
      </w:r>
    </w:p>
    <w:p w:rsidR="00A0611C" w:rsidRDefault="00A0611C" w:rsidP="00A0611C">
      <w:pPr>
        <w:pStyle w:val="Rubrik1"/>
      </w:pPr>
      <w:bookmarkStart w:id="19" w:name="_Toc196290196"/>
      <w:bookmarkStart w:id="20" w:name="_Toc196292437"/>
      <w:bookmarkStart w:id="21" w:name="_Toc196295153"/>
      <w:r>
        <w:t>Generella direktiv</w:t>
      </w:r>
      <w:bookmarkEnd w:id="19"/>
      <w:bookmarkEnd w:id="20"/>
      <w:bookmarkEnd w:id="21"/>
    </w:p>
    <w:p w:rsidR="00A0611C" w:rsidRDefault="00A0611C" w:rsidP="00A0611C">
      <w:r>
        <w:t xml:space="preserve">Läkemedel som ordineras enligt generella direktiv (se separat PM </w:t>
      </w:r>
      <w:r>
        <w:rPr>
          <w:i/>
        </w:rPr>
        <w:t>Ge</w:t>
      </w:r>
      <w:r w:rsidRPr="0051542E">
        <w:rPr>
          <w:i/>
        </w:rPr>
        <w:t>nerella direktiv</w:t>
      </w:r>
      <w:r>
        <w:rPr>
          <w:i/>
        </w:rPr>
        <w:t xml:space="preserve"> för</w:t>
      </w:r>
      <w:r w:rsidRPr="0051542E">
        <w:rPr>
          <w:i/>
        </w:rPr>
        <w:t xml:space="preserve"> sjuksköterskors läkemedelsordination vid Kirurg- och urologkliniken</w:t>
      </w:r>
      <w:r>
        <w:rPr>
          <w:i/>
        </w:rPr>
        <w:t xml:space="preserve"> samt Generella direktiv för sjuksköterskors läkemedelsordination urologmottagningen</w:t>
      </w:r>
      <w:r>
        <w:t>) får ges till en patient utan att läkare kontaktas efter att en sjuksköterska gjort en behovsbedömning. I de generella direktiven anges indikationerna och kontraindikationerna samt dosering och antalet tillfällen som läkemedlet får ges till en patient utan att en läkare kontaktats. Ordinationer enligt generella direktiv ska utfärdas restriktivt och omprövas regelbundet.</w:t>
      </w:r>
    </w:p>
    <w:p w:rsidR="00A0611C" w:rsidRDefault="00A0611C" w:rsidP="00A0611C">
      <w:pPr>
        <w:pStyle w:val="Rubrik1"/>
      </w:pPr>
      <w:bookmarkStart w:id="22" w:name="_Toc196290197"/>
      <w:bookmarkStart w:id="23" w:name="_Toc196292438"/>
      <w:bookmarkStart w:id="24" w:name="_Toc196295154"/>
      <w:r>
        <w:lastRenderedPageBreak/>
        <w:t>Iordningställande och administrering av läkemedel</w:t>
      </w:r>
      <w:bookmarkEnd w:id="22"/>
      <w:bookmarkEnd w:id="23"/>
      <w:bookmarkEnd w:id="24"/>
    </w:p>
    <w:p w:rsidR="00A0611C" w:rsidRDefault="00A0611C" w:rsidP="00A0611C">
      <w:r>
        <w:t xml:space="preserve">Den som iordningställer läkemedlet har själv ansvar för administreringen av läkemedlet till patienten. När patientdos av ett läkemedel iordningställs av en receptarie eller en apotekare ska en sjuksköterska ansvara för administreringen av läkemedlet till patienten. </w:t>
      </w:r>
    </w:p>
    <w:p w:rsidR="00A0611C" w:rsidRDefault="00A0611C" w:rsidP="00A0611C"/>
    <w:p w:rsidR="00A0611C" w:rsidRDefault="00A0611C" w:rsidP="00A0611C">
      <w:r>
        <w:t>Den som iordningställer läkemedlet ska mot ordinationshandlingen kontrollera:</w:t>
      </w:r>
    </w:p>
    <w:p w:rsidR="00A0611C" w:rsidRDefault="00A0611C" w:rsidP="00A0611C">
      <w:pPr>
        <w:numPr>
          <w:ilvl w:val="0"/>
          <w:numId w:val="7"/>
        </w:numPr>
      </w:pPr>
      <w:r>
        <w:t>patientens identitet</w:t>
      </w:r>
    </w:p>
    <w:p w:rsidR="00A0611C" w:rsidRDefault="00A0611C" w:rsidP="00A0611C">
      <w:pPr>
        <w:numPr>
          <w:ilvl w:val="0"/>
          <w:numId w:val="7"/>
        </w:numPr>
      </w:pPr>
      <w:r>
        <w:t>läkemedlets namn och styrka</w:t>
      </w:r>
    </w:p>
    <w:p w:rsidR="00A0611C" w:rsidRDefault="00A0611C" w:rsidP="00A0611C">
      <w:pPr>
        <w:numPr>
          <w:ilvl w:val="0"/>
          <w:numId w:val="7"/>
        </w:numPr>
      </w:pPr>
      <w:r>
        <w:t>läkemedelsform</w:t>
      </w:r>
    </w:p>
    <w:p w:rsidR="00A0611C" w:rsidRDefault="00A0611C" w:rsidP="00A0611C">
      <w:pPr>
        <w:numPr>
          <w:ilvl w:val="0"/>
          <w:numId w:val="7"/>
        </w:numPr>
      </w:pPr>
      <w:r>
        <w:t>dos och doseringstidpunkt</w:t>
      </w:r>
    </w:p>
    <w:p w:rsidR="00A0611C" w:rsidRDefault="00A0611C" w:rsidP="00A0611C"/>
    <w:p w:rsidR="00A0611C" w:rsidRDefault="00A0611C" w:rsidP="00A0611C">
      <w:r>
        <w:t>Den som administrerar ett läkemedel ska kontrollera:</w:t>
      </w:r>
    </w:p>
    <w:p w:rsidR="00A0611C" w:rsidRDefault="00A0611C" w:rsidP="00A0611C">
      <w:pPr>
        <w:numPr>
          <w:ilvl w:val="0"/>
          <w:numId w:val="7"/>
        </w:numPr>
      </w:pPr>
      <w:r>
        <w:t>patientens identitet</w:t>
      </w:r>
    </w:p>
    <w:p w:rsidR="00A0611C" w:rsidRDefault="00A0611C" w:rsidP="00A0611C">
      <w:pPr>
        <w:numPr>
          <w:ilvl w:val="0"/>
          <w:numId w:val="7"/>
        </w:numPr>
      </w:pPr>
      <w:r>
        <w:t>ge patienten läkemedlet vid avsedd tidpunkt</w:t>
      </w:r>
    </w:p>
    <w:p w:rsidR="00A0611C" w:rsidRDefault="00A0611C" w:rsidP="00A0611C"/>
    <w:p w:rsidR="00A0611C" w:rsidRDefault="00A0611C" w:rsidP="00A0611C">
      <w:r>
        <w:t>Varje enskilt överlämnande ska signeras som Administrerad i ordinationshandlingen. Ansvaret för dosens innehåll är personligt bundet till signerande sjuksköterska i de fall apoteket inte har iordningställt dosen.</w:t>
      </w:r>
    </w:p>
    <w:p w:rsidR="00A0611C" w:rsidRDefault="00A0611C" w:rsidP="00A0611C">
      <w:pPr>
        <w:spacing w:before="100" w:beforeAutospacing="1" w:after="100" w:afterAutospacing="1"/>
      </w:pPr>
      <w:r>
        <w:t xml:space="preserve">Sjuksköterska har tillstånd att vid iordningsställande ändra läkemedel till synonymt preparat enligt </w:t>
      </w:r>
      <w:r>
        <w:rPr>
          <w:i/>
          <w:color w:val="000000"/>
        </w:rPr>
        <w:t>Kloka Listan</w:t>
      </w:r>
      <w:r>
        <w:rPr>
          <w:color w:val="000000"/>
        </w:rPr>
        <w:t>.</w:t>
      </w:r>
      <w:r>
        <w:t xml:space="preserve"> </w:t>
      </w:r>
    </w:p>
    <w:p w:rsidR="00A0611C" w:rsidRDefault="00A0611C" w:rsidP="00A0611C">
      <w:pPr>
        <w:rPr>
          <w:sz w:val="24"/>
        </w:rPr>
      </w:pPr>
      <w:r>
        <w:t>Samtliga öppnade förpackningar ska vara märkta med öppningsdatum och klockslag. Arbetsbänken ska hållas ren, och dagligen avtorkas med ytdesinfektion (eller liknande sprit</w:t>
      </w:r>
      <w:r>
        <w:rPr>
          <w:sz w:val="24"/>
        </w:rPr>
        <w:t>).</w:t>
      </w:r>
    </w:p>
    <w:p w:rsidR="00A0611C" w:rsidRDefault="00A0611C" w:rsidP="00A0611C">
      <w:pPr>
        <w:pStyle w:val="Rubrik1"/>
      </w:pPr>
      <w:bookmarkStart w:id="25" w:name="_Toc196290198"/>
      <w:bookmarkStart w:id="26" w:name="_Toc196292439"/>
      <w:bookmarkStart w:id="27" w:name="_Toc196295155"/>
      <w:r>
        <w:t>Märkning av läkemedel</w:t>
      </w:r>
      <w:bookmarkEnd w:id="25"/>
      <w:bookmarkEnd w:id="26"/>
      <w:bookmarkEnd w:id="27"/>
    </w:p>
    <w:p w:rsidR="00A0611C" w:rsidRDefault="00A0611C" w:rsidP="00A0611C">
      <w:r>
        <w:t xml:space="preserve">Ett iordningställt </w:t>
      </w:r>
      <w:r>
        <w:rPr>
          <w:b/>
        </w:rPr>
        <w:t>läkemedel</w:t>
      </w:r>
      <w:r>
        <w:t xml:space="preserve"> ska på förpackningen eller behållaren vara märkt med uppgifter om </w:t>
      </w:r>
    </w:p>
    <w:p w:rsidR="00A0611C" w:rsidRDefault="00A0611C" w:rsidP="00A0611C">
      <w:pPr>
        <w:numPr>
          <w:ilvl w:val="0"/>
          <w:numId w:val="11"/>
        </w:numPr>
      </w:pPr>
      <w:r>
        <w:t>patientens identitet</w:t>
      </w:r>
    </w:p>
    <w:p w:rsidR="00A0611C" w:rsidRDefault="00A0611C" w:rsidP="00A0611C">
      <w:pPr>
        <w:numPr>
          <w:ilvl w:val="0"/>
          <w:numId w:val="11"/>
        </w:numPr>
      </w:pPr>
      <w:r>
        <w:t>läkemedlets, namn, styrka och dos</w:t>
      </w:r>
    </w:p>
    <w:p w:rsidR="00A0611C" w:rsidRDefault="00A0611C" w:rsidP="00A0611C"/>
    <w:p w:rsidR="00A0611C" w:rsidRDefault="00A0611C" w:rsidP="00A0611C">
      <w:r>
        <w:t>För i</w:t>
      </w:r>
      <w:r>
        <w:rPr>
          <w:b/>
        </w:rPr>
        <w:t xml:space="preserve">njektionsläkemedel </w:t>
      </w:r>
      <w:r>
        <w:t xml:space="preserve">gäller att sprutan ska vara signerad och märkt med uppgifter om </w:t>
      </w:r>
    </w:p>
    <w:p w:rsidR="00A0611C" w:rsidRDefault="00A0611C" w:rsidP="00A0611C">
      <w:pPr>
        <w:numPr>
          <w:ilvl w:val="0"/>
          <w:numId w:val="9"/>
        </w:numPr>
      </w:pPr>
      <w:r>
        <w:t>patientens identitet</w:t>
      </w:r>
    </w:p>
    <w:p w:rsidR="00A0611C" w:rsidRDefault="00A0611C" w:rsidP="00A0611C">
      <w:pPr>
        <w:numPr>
          <w:ilvl w:val="0"/>
          <w:numId w:val="9"/>
        </w:numPr>
      </w:pPr>
      <w:r>
        <w:t>läkemedels namn styrka och dos</w:t>
      </w:r>
    </w:p>
    <w:p w:rsidR="00A0611C" w:rsidRDefault="00A0611C" w:rsidP="00A0611C">
      <w:pPr>
        <w:numPr>
          <w:ilvl w:val="0"/>
          <w:numId w:val="9"/>
        </w:numPr>
      </w:pPr>
      <w:r>
        <w:t>tidpunkt för iordningställande</w:t>
      </w:r>
    </w:p>
    <w:p w:rsidR="00A0611C" w:rsidRDefault="00A0611C" w:rsidP="00A0611C"/>
    <w:p w:rsidR="00A0611C" w:rsidRDefault="00A0611C" w:rsidP="00A0611C">
      <w:r>
        <w:t>Om fler än ett injektionsläkemedel ska ges vid samma tillfälle ska varje spruta alltid vara försedd med dessa uppgifter.</w:t>
      </w:r>
    </w:p>
    <w:p w:rsidR="00A0611C" w:rsidRDefault="00A0611C" w:rsidP="00A0611C"/>
    <w:p w:rsidR="00A0611C" w:rsidRDefault="00A0611C" w:rsidP="00A0611C">
      <w:r>
        <w:t>Vid iordningställande av</w:t>
      </w:r>
      <w:r>
        <w:rPr>
          <w:b/>
        </w:rPr>
        <w:t xml:space="preserve"> infusionsvätskor </w:t>
      </w:r>
      <w:r>
        <w:t>gäller att behållaren märks med</w:t>
      </w:r>
    </w:p>
    <w:p w:rsidR="00A0611C" w:rsidRDefault="00A0611C" w:rsidP="00A0611C">
      <w:pPr>
        <w:numPr>
          <w:ilvl w:val="0"/>
          <w:numId w:val="10"/>
        </w:numPr>
      </w:pPr>
      <w:r>
        <w:t>patientens identitet</w:t>
      </w:r>
    </w:p>
    <w:p w:rsidR="00A0611C" w:rsidRDefault="00A0611C" w:rsidP="00A0611C">
      <w:pPr>
        <w:numPr>
          <w:ilvl w:val="0"/>
          <w:numId w:val="10"/>
        </w:numPr>
      </w:pPr>
      <w:r>
        <w:t>eventuella tillsatser</w:t>
      </w:r>
    </w:p>
    <w:p w:rsidR="00A0611C" w:rsidRDefault="00A0611C" w:rsidP="00A0611C">
      <w:pPr>
        <w:numPr>
          <w:ilvl w:val="0"/>
          <w:numId w:val="10"/>
        </w:numPr>
      </w:pPr>
      <w:r>
        <w:t>starttid</w:t>
      </w:r>
    </w:p>
    <w:p w:rsidR="00A0611C" w:rsidRDefault="00A0611C" w:rsidP="00A0611C">
      <w:pPr>
        <w:numPr>
          <w:ilvl w:val="0"/>
          <w:numId w:val="10"/>
        </w:numPr>
      </w:pPr>
      <w:r>
        <w:t>infusionstid</w:t>
      </w:r>
    </w:p>
    <w:p w:rsidR="00A0611C" w:rsidRDefault="00A0611C" w:rsidP="00A0611C">
      <w:pPr>
        <w:pStyle w:val="Rubrik1"/>
      </w:pPr>
      <w:bookmarkStart w:id="28" w:name="_Toc196290199"/>
      <w:bookmarkStart w:id="29" w:name="_Toc196292440"/>
      <w:bookmarkStart w:id="30" w:name="_Toc196295156"/>
      <w:r>
        <w:t>Krossning av tabletter</w:t>
      </w:r>
      <w:bookmarkEnd w:id="28"/>
      <w:bookmarkEnd w:id="29"/>
      <w:bookmarkEnd w:id="30"/>
    </w:p>
    <w:p w:rsidR="00A0611C" w:rsidRPr="00C135BF" w:rsidRDefault="00A0611C" w:rsidP="00A0611C">
      <w:pPr>
        <w:rPr>
          <w:i/>
          <w:color w:val="000000"/>
          <w:szCs w:val="22"/>
        </w:rPr>
      </w:pPr>
      <w:r>
        <w:t xml:space="preserve">Vissa tabletter och kapslar måste sväljas hela p.g.a. att de har en förlängd effekt (duretter, retard, prolongatum) eller är överdragna med ett skikt som motstår saltsyra i matsäcken (enterotabletter). För information se </w:t>
      </w:r>
      <w:r>
        <w:rPr>
          <w:i/>
        </w:rPr>
        <w:t xml:space="preserve">Sväljes Hela - </w:t>
      </w:r>
      <w:r>
        <w:rPr>
          <w:i/>
          <w:color w:val="000000"/>
          <w:szCs w:val="22"/>
        </w:rPr>
        <w:t xml:space="preserve">En förteckning med kommentarer över tabletter/kapslar som måste eller bör sväljas hela </w:t>
      </w:r>
      <w:hyperlink r:id="rId8" w:history="1">
        <w:r w:rsidRPr="009F0B39">
          <w:rPr>
            <w:rStyle w:val="Hyperlnk"/>
            <w:i/>
            <w:szCs w:val="22"/>
          </w:rPr>
          <w:t>http://www.apoteketfarmaci.se/NyheterOchFakta/Farm</w:t>
        </w:r>
        <w:r w:rsidRPr="009F0B39">
          <w:rPr>
            <w:rStyle w:val="Hyperlnk"/>
            <w:i/>
            <w:szCs w:val="22"/>
          </w:rPr>
          <w:t>a</w:t>
        </w:r>
        <w:r w:rsidRPr="009F0B39">
          <w:rPr>
            <w:rStyle w:val="Hyperlnk"/>
            <w:i/>
            <w:szCs w:val="22"/>
          </w:rPr>
          <w:t>ci%20Broschyrer/Sväljeshela_30%20mars_2012.pdf</w:t>
        </w:r>
      </w:hyperlink>
      <w:r>
        <w:rPr>
          <w:i/>
          <w:color w:val="000000"/>
          <w:szCs w:val="22"/>
        </w:rPr>
        <w:t xml:space="preserve"> </w:t>
      </w:r>
    </w:p>
    <w:p w:rsidR="00A0611C" w:rsidRDefault="00A0611C" w:rsidP="00A0611C">
      <w:pPr>
        <w:rPr>
          <w:rFonts w:ascii="Arial" w:hAnsi="Arial" w:cs="Arial"/>
          <w:b/>
          <w:bCs/>
          <w:kern w:val="32"/>
          <w:sz w:val="32"/>
          <w:szCs w:val="32"/>
        </w:rPr>
      </w:pPr>
    </w:p>
    <w:p w:rsidR="00A0611C" w:rsidRDefault="00A0611C" w:rsidP="00A0611C">
      <w:pPr>
        <w:rPr>
          <w:rFonts w:ascii="Arial" w:hAnsi="Arial" w:cs="Arial"/>
          <w:b/>
          <w:bCs/>
          <w:kern w:val="32"/>
          <w:sz w:val="32"/>
          <w:szCs w:val="32"/>
        </w:rPr>
      </w:pPr>
      <w:r>
        <w:rPr>
          <w:rFonts w:ascii="Arial" w:hAnsi="Arial" w:cs="Arial"/>
          <w:b/>
          <w:bCs/>
          <w:kern w:val="32"/>
          <w:sz w:val="32"/>
          <w:szCs w:val="32"/>
        </w:rPr>
        <w:lastRenderedPageBreak/>
        <w:t xml:space="preserve">Överkänslighet och biverkningar </w:t>
      </w:r>
    </w:p>
    <w:p w:rsidR="00A0611C" w:rsidRDefault="00A0611C" w:rsidP="00A0611C">
      <w:r>
        <w:t xml:space="preserve">I läkemedelsjournalen ska klart och tydligt anges om intolerans/överkänslighet mot läkemedel föreligger. Läkare ansvarar för att detta blir gjort. </w:t>
      </w:r>
    </w:p>
    <w:p w:rsidR="00A0611C" w:rsidRPr="00B74173" w:rsidRDefault="00A0611C" w:rsidP="00A0611C">
      <w:pPr>
        <w:pStyle w:val="Brdtextmedindrag"/>
        <w:numPr>
          <w:ilvl w:val="12"/>
          <w:numId w:val="0"/>
        </w:numPr>
        <w:spacing w:before="80"/>
      </w:pPr>
      <w:r>
        <w:t xml:space="preserve">All läkemedelsöverkänslighet skall registreras </w:t>
      </w:r>
      <w:r w:rsidRPr="00B74173">
        <w:t xml:space="preserve">i journalen med ATC-kod där sådan är känd. Detta sker genom att lägga in en Varning i modulen Patientuppgifter samt göra en journalanteckning. </w:t>
      </w:r>
    </w:p>
    <w:p w:rsidR="00A0611C" w:rsidRDefault="00A0611C" w:rsidP="00A0611C">
      <w:r>
        <w:t xml:space="preserve">Det är viktigt att all personal som har kontakt med patienten är observant på biverkningar. Iakttagelser ska rapporteras till ansvarig sjuksköterska. Observerad eller av patienten meddelad läkemedelsbiverkan noteras i </w:t>
      </w:r>
      <w:r w:rsidRPr="00B74173">
        <w:t>journalen samt</w:t>
      </w:r>
      <w:r>
        <w:t xml:space="preserve"> meddelas läkaren. </w:t>
      </w:r>
    </w:p>
    <w:p w:rsidR="00A0611C" w:rsidRDefault="00A0611C" w:rsidP="00A0611C"/>
    <w:p w:rsidR="00A0611C" w:rsidRDefault="00A0611C" w:rsidP="00A0611C">
      <w:r>
        <w:t>Biverkningar ska anmälas till regionala Biverkningsenheten, Stockholmsregionen Norr (för mer detaljerad information se FASS, kapitel ”Rapportering av läkemedelsbiverkningar”):</w:t>
      </w:r>
    </w:p>
    <w:p w:rsidR="00A0611C" w:rsidRDefault="00A0611C" w:rsidP="00A0611C">
      <w:pPr>
        <w:numPr>
          <w:ilvl w:val="0"/>
          <w:numId w:val="12"/>
        </w:numPr>
      </w:pPr>
      <w:r>
        <w:t>Alla misstänkta biverkningar av nya läkemedel som ej står upptagna som vanliga i FASS.</w:t>
      </w:r>
    </w:p>
    <w:p w:rsidR="00A0611C" w:rsidRDefault="00A0611C" w:rsidP="00A0611C">
      <w:pPr>
        <w:numPr>
          <w:ilvl w:val="0"/>
          <w:numId w:val="12"/>
        </w:numPr>
      </w:pPr>
      <w:r>
        <w:t>Allvarliga biverkningar som dödsfall, livshotande reaktioner, biverkningar som leder till permanent skada eller långvarig funktionsnedsättning, biverkningar som leder till sjukhusvård eller förlängd sjukhusvård, nya oväntade biverkningar och interaktioner, biverkningar som tycks öka i frekvens eller allvarlighetsgrad.</w:t>
      </w:r>
    </w:p>
    <w:p w:rsidR="00A0611C" w:rsidRDefault="00A0611C" w:rsidP="00A0611C">
      <w:pPr>
        <w:pStyle w:val="Rubrik1"/>
      </w:pPr>
      <w:bookmarkStart w:id="31" w:name="_Toc196290200"/>
      <w:bookmarkStart w:id="32" w:name="_Toc196292441"/>
      <w:bookmarkStart w:id="33" w:name="_Toc196295157"/>
      <w:r>
        <w:t>Överföring från annan journalhandling</w:t>
      </w:r>
      <w:bookmarkEnd w:id="31"/>
      <w:bookmarkEnd w:id="32"/>
      <w:bookmarkEnd w:id="33"/>
    </w:p>
    <w:p w:rsidR="00A0611C" w:rsidRDefault="00A0611C" w:rsidP="00A0611C">
      <w:r>
        <w:t>När läkemedelsordination baseras på överföringar av uppgifter från annan journalhandling, läkemedelskort eller remiss etc. är det av stor vikt att uppgifterna kontrolleras mot patientens egna uppgifter. Förändring kan ha skett i behandling som inte införts i underlaget. Denna dubbelkontroll är viktig för att undvika fel och blir särskilt viktig om patienten av olika skäl har svårt att ge en egen anamnes om aktuell läkemedelsbehandling.</w:t>
      </w:r>
    </w:p>
    <w:p w:rsidR="00A0611C" w:rsidRDefault="00A0611C" w:rsidP="00A0611C">
      <w:pPr>
        <w:pStyle w:val="Rubrik1"/>
      </w:pPr>
      <w:bookmarkStart w:id="34" w:name="_Toc196290201"/>
      <w:bookmarkStart w:id="35" w:name="_Toc196292442"/>
      <w:bookmarkStart w:id="36" w:name="_Toc196295158"/>
      <w:r>
        <w:t>Patient som medfört egna läkemedel inom slutenvården</w:t>
      </w:r>
      <w:bookmarkEnd w:id="34"/>
      <w:bookmarkEnd w:id="35"/>
      <w:bookmarkEnd w:id="36"/>
    </w:p>
    <w:p w:rsidR="00A0611C" w:rsidRDefault="00A0611C" w:rsidP="00A0611C">
      <w:r>
        <w:t xml:space="preserve">Huvudregeln är att läkemedel som patient medför ska med dennes medgivande temporärt tas om hand och förvaras inlåsta separat från andra läkemedel alternativt sändas till patientens bostad. Detta för att förhindra dubbeladministrering. </w:t>
      </w:r>
      <w:r>
        <w:rPr>
          <w:bCs/>
        </w:rPr>
        <w:t>Patientens medhavda läkemedel får aldrig tillföras avdelningens gemensamma läkemedelsförråd.</w:t>
      </w:r>
      <w:r>
        <w:t xml:space="preserve"> Använd som regel aldrig patientens medhavda läkemedel annat än i undantagsfall. Om läkemedlet som patienten tidigare är ordinerad saknas på avdelningen, ska läkaren ta ställning till följande:</w:t>
      </w:r>
    </w:p>
    <w:p w:rsidR="00A0611C" w:rsidRDefault="00A0611C" w:rsidP="00A0611C">
      <w:pPr>
        <w:numPr>
          <w:ilvl w:val="0"/>
          <w:numId w:val="13"/>
        </w:numPr>
      </w:pPr>
      <w:r>
        <w:t xml:space="preserve">Är läkemedlet nödvändigt? </w:t>
      </w:r>
    </w:p>
    <w:p w:rsidR="00A0611C" w:rsidRDefault="00A0611C" w:rsidP="00A0611C">
      <w:pPr>
        <w:numPr>
          <w:ilvl w:val="0"/>
          <w:numId w:val="13"/>
        </w:numPr>
      </w:pPr>
      <w:r>
        <w:t>Finns synonymt läkemedel?</w:t>
      </w:r>
    </w:p>
    <w:p w:rsidR="00A0611C" w:rsidRDefault="00A0611C" w:rsidP="00A0611C">
      <w:pPr>
        <w:numPr>
          <w:ilvl w:val="0"/>
          <w:numId w:val="13"/>
        </w:numPr>
      </w:pPr>
      <w:r>
        <w:t xml:space="preserve">Kan läkemedlet lånas från annan avdelning? </w:t>
      </w:r>
    </w:p>
    <w:p w:rsidR="00A0611C" w:rsidRDefault="00A0611C" w:rsidP="00A0611C">
      <w:pPr>
        <w:numPr>
          <w:ilvl w:val="0"/>
          <w:numId w:val="13"/>
        </w:numPr>
      </w:pPr>
      <w:r>
        <w:t xml:space="preserve">Ska läkemedlet beställas från Sjukhusapoteket? </w:t>
      </w:r>
    </w:p>
    <w:p w:rsidR="00A0611C" w:rsidRDefault="00A0611C" w:rsidP="00A0611C">
      <w:pPr>
        <w:numPr>
          <w:ilvl w:val="0"/>
          <w:numId w:val="13"/>
        </w:numPr>
      </w:pPr>
      <w:r>
        <w:t>Ska läkemedlet under jourtid beställas från jourapotek? (</w:t>
      </w:r>
      <w:r>
        <w:rPr>
          <w:rStyle w:val="imagetext"/>
        </w:rPr>
        <w:t>Apoteket CW Scheele: 08-454 81 00)</w:t>
      </w:r>
    </w:p>
    <w:p w:rsidR="00A0611C" w:rsidRDefault="00A0611C" w:rsidP="00A0611C">
      <w:pPr>
        <w:numPr>
          <w:ilvl w:val="0"/>
          <w:numId w:val="13"/>
        </w:numPr>
      </w:pPr>
      <w:r>
        <w:t>Får patientens personligt medhavda läkemedel användas?</w:t>
      </w:r>
    </w:p>
    <w:p w:rsidR="00A0611C" w:rsidRDefault="00A0611C" w:rsidP="00A0611C">
      <w:pPr>
        <w:spacing w:before="100" w:beforeAutospacing="1" w:after="100" w:afterAutospacing="1"/>
      </w:pPr>
      <w:r w:rsidRPr="00F61937">
        <w:t xml:space="preserve">Om patientens medförda läkemedel ska användas, ordinerar läkaren detta i patientens läkemedelsjournal och </w:t>
      </w:r>
      <w:r>
        <w:t>skriver ”personligt läkemedel”</w:t>
      </w:r>
      <w:r w:rsidRPr="00F61937">
        <w:t xml:space="preserve"> i admini</w:t>
      </w:r>
      <w:r>
        <w:t>s</w:t>
      </w:r>
      <w:r w:rsidRPr="00F61937">
        <w:t>treringsinstruktionen till läkemedlet. Sjuksköterskan</w:t>
      </w:r>
      <w:r>
        <w:t xml:space="preserve"> som administrerar läkemedlet förvissar sig om att det är rätt läkemedel, rätt styrka och att utgångsdatum inte passerats. Medförda läkemedel som ges under vårdtiden förvaras i läkemedelsvagnen i originalförpackning.</w:t>
      </w:r>
    </w:p>
    <w:p w:rsidR="00A0611C" w:rsidRDefault="00A0611C" w:rsidP="00A0611C">
      <w:pPr>
        <w:pStyle w:val="Rubrik1"/>
        <w:rPr>
          <w:bCs w:val="0"/>
        </w:rPr>
      </w:pPr>
      <w:bookmarkStart w:id="37" w:name="_Toc196290202"/>
      <w:bookmarkStart w:id="38" w:name="_Toc196292443"/>
      <w:bookmarkStart w:id="39" w:name="_Toc196295159"/>
      <w:r>
        <w:rPr>
          <w:bCs w:val="0"/>
        </w:rPr>
        <w:t xml:space="preserve">Patienten sköter </w:t>
      </w:r>
      <w:r>
        <w:t>själv</w:t>
      </w:r>
      <w:r>
        <w:rPr>
          <w:bCs w:val="0"/>
        </w:rPr>
        <w:t xml:space="preserve"> sin medicinering</w:t>
      </w:r>
      <w:bookmarkEnd w:id="37"/>
      <w:bookmarkEnd w:id="38"/>
      <w:bookmarkEnd w:id="39"/>
      <w:r>
        <w:rPr>
          <w:bCs w:val="0"/>
        </w:rPr>
        <w:t xml:space="preserve"> </w:t>
      </w:r>
    </w:p>
    <w:p w:rsidR="00A0611C" w:rsidRDefault="00A0611C" w:rsidP="00A0611C">
      <w:r>
        <w:t>Om det vid inskrivningssamtalet beslutas att patienten ska sköta sin medicinering själv gäller följande:</w:t>
      </w:r>
    </w:p>
    <w:p w:rsidR="00A0611C" w:rsidRDefault="00A0611C" w:rsidP="00A0611C">
      <w:pPr>
        <w:numPr>
          <w:ilvl w:val="0"/>
          <w:numId w:val="14"/>
        </w:numPr>
      </w:pPr>
      <w:r>
        <w:t>Sjuksköterska, läkare och patient bedömer tillsammans initialt och därefter dagligen om det är lämpligt att patienten själv sköter sin medicinering.</w:t>
      </w:r>
    </w:p>
    <w:p w:rsidR="00A0611C" w:rsidRPr="00B74173" w:rsidRDefault="00A0611C" w:rsidP="00A0611C">
      <w:pPr>
        <w:numPr>
          <w:ilvl w:val="0"/>
          <w:numId w:val="14"/>
        </w:numPr>
      </w:pPr>
      <w:r w:rsidRPr="00B74173">
        <w:t>Läkare ordinerar läkemedlen i läkemedelsjournalen och bockar i rutan ”sköter själv” samt signerar.</w:t>
      </w:r>
    </w:p>
    <w:p w:rsidR="00A0611C" w:rsidRPr="006404E1" w:rsidRDefault="00A0611C" w:rsidP="00A0611C">
      <w:pPr>
        <w:numPr>
          <w:ilvl w:val="0"/>
          <w:numId w:val="14"/>
        </w:numPr>
      </w:pPr>
      <w:r w:rsidRPr="006404E1">
        <w:t xml:space="preserve">Sjuksköterska förvissar sig dagligen om att patienten intagit sina mediciner och dokumenterar i läkemedelsjournalen. </w:t>
      </w:r>
    </w:p>
    <w:p w:rsidR="00A0611C" w:rsidRDefault="00A0611C" w:rsidP="00A0611C">
      <w:pPr>
        <w:numPr>
          <w:ilvl w:val="0"/>
          <w:numId w:val="14"/>
        </w:numPr>
        <w:spacing w:before="100" w:beforeAutospacing="1" w:after="100" w:afterAutospacing="1"/>
      </w:pPr>
      <w:r>
        <w:t>Medförda läkemedel som patienten själv sköter ska vara inlåsta hos patienten.</w:t>
      </w:r>
    </w:p>
    <w:p w:rsidR="00A0611C" w:rsidRDefault="00A0611C" w:rsidP="00A0611C">
      <w:pPr>
        <w:pStyle w:val="Rubrik1"/>
      </w:pPr>
      <w:bookmarkStart w:id="40" w:name="_Toc196290203"/>
      <w:bookmarkStart w:id="41" w:name="_Toc196292444"/>
      <w:bookmarkStart w:id="42" w:name="_Toc196295160"/>
      <w:r>
        <w:lastRenderedPageBreak/>
        <w:t>Patient som har permission</w:t>
      </w:r>
      <w:bookmarkEnd w:id="40"/>
      <w:bookmarkEnd w:id="41"/>
      <w:bookmarkEnd w:id="42"/>
    </w:p>
    <w:p w:rsidR="00A0611C" w:rsidRDefault="00A0611C" w:rsidP="00A0611C">
      <w:r>
        <w:t>Läkemedel som överlämnas till patient att tas under t.ex. permission eller så kallade jourdoser får inte överlämnas i större mängd än vad som krävs för att täcka t.ex. permissionstiden eller till dess patienten kan få läkemedlet expedierat på apotek. Om en patient får läkemedel med sig hem måste detta antecknas i ordinationshandlingen. Läkemedlet ska om det intas omedelbart överlämnas i en förpackning märkt med</w:t>
      </w:r>
    </w:p>
    <w:p w:rsidR="00A0611C" w:rsidRDefault="00A0611C" w:rsidP="00A0611C">
      <w:pPr>
        <w:numPr>
          <w:ilvl w:val="0"/>
          <w:numId w:val="15"/>
        </w:numPr>
      </w:pPr>
      <w:r>
        <w:t>patientens identitet</w:t>
      </w:r>
    </w:p>
    <w:p w:rsidR="00A0611C" w:rsidRDefault="00A0611C" w:rsidP="00A0611C">
      <w:pPr>
        <w:numPr>
          <w:ilvl w:val="0"/>
          <w:numId w:val="15"/>
        </w:numPr>
      </w:pPr>
      <w:r>
        <w:t>läkemedlets namn och styrka</w:t>
      </w:r>
    </w:p>
    <w:p w:rsidR="00A0611C" w:rsidRDefault="00A0611C" w:rsidP="00A0611C">
      <w:pPr>
        <w:numPr>
          <w:ilvl w:val="0"/>
          <w:numId w:val="15"/>
        </w:numPr>
      </w:pPr>
      <w:r>
        <w:t>datum för överlämnade</w:t>
      </w:r>
    </w:p>
    <w:p w:rsidR="00A0611C" w:rsidRDefault="00A0611C" w:rsidP="00A0611C">
      <w:pPr>
        <w:numPr>
          <w:ilvl w:val="0"/>
          <w:numId w:val="15"/>
        </w:numPr>
      </w:pPr>
      <w:r>
        <w:t>anvisningar om hur läkemedlet ska användas</w:t>
      </w:r>
    </w:p>
    <w:p w:rsidR="00A0611C" w:rsidRDefault="00A0611C" w:rsidP="00A0611C">
      <w:pPr>
        <w:numPr>
          <w:ilvl w:val="0"/>
          <w:numId w:val="15"/>
        </w:numPr>
      </w:pPr>
      <w:r>
        <w:t>ordinerande läkares namn</w:t>
      </w:r>
    </w:p>
    <w:p w:rsidR="00A0611C" w:rsidRDefault="00A0611C" w:rsidP="00A0611C">
      <w:pPr>
        <w:numPr>
          <w:ilvl w:val="0"/>
          <w:numId w:val="15"/>
        </w:numPr>
      </w:pPr>
      <w:r>
        <w:t>signatur av den som iordningställt förpackningen</w:t>
      </w:r>
    </w:p>
    <w:p w:rsidR="00A0611C" w:rsidRDefault="00A0611C" w:rsidP="00A0611C">
      <w:r>
        <w:t>Det är en fördel om endosförpackade läkemedel används.</w:t>
      </w:r>
    </w:p>
    <w:p w:rsidR="00A0611C" w:rsidRDefault="00A0611C" w:rsidP="00A0611C"/>
    <w:p w:rsidR="00A0611C" w:rsidRDefault="00A0611C" w:rsidP="00A0611C">
      <w:pPr>
        <w:rPr>
          <w:rFonts w:ascii="Arial" w:hAnsi="Arial" w:cs="Arial"/>
          <w:b/>
          <w:bCs/>
          <w:kern w:val="32"/>
          <w:sz w:val="32"/>
          <w:szCs w:val="32"/>
        </w:rPr>
      </w:pPr>
      <w:r>
        <w:rPr>
          <w:rFonts w:ascii="Arial" w:hAnsi="Arial" w:cs="Arial"/>
          <w:b/>
          <w:bCs/>
          <w:kern w:val="32"/>
          <w:sz w:val="32"/>
          <w:szCs w:val="32"/>
        </w:rPr>
        <w:t>Narkotika</w:t>
      </w:r>
      <w:r>
        <w:rPr>
          <w:rFonts w:ascii="Verdana" w:hAnsi="Verdana"/>
        </w:rPr>
        <w:t xml:space="preserve"> </w:t>
      </w:r>
    </w:p>
    <w:p w:rsidR="00A0611C" w:rsidRPr="00B74173" w:rsidRDefault="00A0611C" w:rsidP="00A0611C">
      <w:r w:rsidRPr="006404E1">
        <w:t xml:space="preserve">Följande gäller narkotika och beroendeframkallande läkemedel enligt förteckning II-V i läkemedelsverkets </w:t>
      </w:r>
      <w:r w:rsidRPr="00B74173">
        <w:t>föreskrifter LVFS 2011:10 (5).</w:t>
      </w:r>
    </w:p>
    <w:p w:rsidR="00A0611C" w:rsidRPr="00B74173" w:rsidRDefault="00A0611C" w:rsidP="00A0611C"/>
    <w:p w:rsidR="00A0611C" w:rsidRPr="00B74173" w:rsidRDefault="00A0611C" w:rsidP="00A0611C">
      <w:r w:rsidRPr="006404E1">
        <w:rPr>
          <w:sz w:val="36"/>
        </w:rPr>
        <w:sym w:font="Wingdings" w:char="F076"/>
      </w:r>
      <w:r w:rsidRPr="006404E1">
        <w:rPr>
          <w:rFonts w:ascii="Verdana" w:hAnsi="Verdana"/>
        </w:rPr>
        <w:t xml:space="preserve"> </w:t>
      </w:r>
      <w:r w:rsidRPr="006404E1">
        <w:t>Tillförsel och uttag av narkotiska preparat grupp II-</w:t>
      </w:r>
      <w:r w:rsidRPr="00B74173">
        <w:t>V s</w:t>
      </w:r>
      <w:r w:rsidRPr="006404E1">
        <w:t>ka redovisas i en särskild förbrukningsjournal med angivande av preparat</w:t>
      </w:r>
      <w:r>
        <w:t xml:space="preserve">, beredningsform, </w:t>
      </w:r>
      <w:r w:rsidRPr="006404E1">
        <w:t>styrka</w:t>
      </w:r>
      <w:r>
        <w:t>, mängd, datum</w:t>
      </w:r>
      <w:r w:rsidRPr="006404E1">
        <w:t xml:space="preserve"> och namngiven patient. Varje uttagen och given dos ska antecknas, signeras och dateras av ansvarig sjuksköterska. </w:t>
      </w:r>
    </w:p>
    <w:p w:rsidR="00A0611C" w:rsidRPr="00EA0FD8" w:rsidRDefault="00A0611C" w:rsidP="00A0611C">
      <w:pPr>
        <w:rPr>
          <w:color w:val="0000FF"/>
        </w:rPr>
      </w:pPr>
    </w:p>
    <w:p w:rsidR="00A0611C" w:rsidRPr="00197D67" w:rsidRDefault="00A0611C" w:rsidP="00A0611C">
      <w:pPr>
        <w:rPr>
          <w:color w:val="FF0000"/>
        </w:rPr>
      </w:pPr>
      <w:r w:rsidRPr="006404E1">
        <w:t>Ansvarig för inventering och kontroll av narkotikaklassade läkemedel åläggs annan sjuksköterska än den som har ansvar för rekvisition och förvaring. Kontroll sker regelbundet, minst en gång per månad</w:t>
      </w:r>
      <w:r w:rsidRPr="00197D67">
        <w:rPr>
          <w:color w:val="FF0000"/>
        </w:rPr>
        <w:t>.</w:t>
      </w:r>
    </w:p>
    <w:p w:rsidR="00A0611C" w:rsidRDefault="00A0611C" w:rsidP="00A0611C">
      <w:pPr>
        <w:rPr>
          <w:color w:val="0000FF"/>
        </w:rPr>
      </w:pPr>
    </w:p>
    <w:p w:rsidR="00A0611C" w:rsidRDefault="00A0611C" w:rsidP="00A0611C">
      <w:pPr>
        <w:pStyle w:val="Rubrik1"/>
      </w:pPr>
      <w:bookmarkStart w:id="43" w:name="_Toc196290204"/>
      <w:bookmarkStart w:id="44" w:name="_Toc196292445"/>
      <w:bookmarkStart w:id="45" w:name="_Toc196295161"/>
      <w:r>
        <w:t>Kassation</w:t>
      </w:r>
      <w:bookmarkEnd w:id="43"/>
      <w:bookmarkEnd w:id="44"/>
      <w:bookmarkEnd w:id="45"/>
    </w:p>
    <w:p w:rsidR="00A0611C" w:rsidRDefault="00A0611C" w:rsidP="00A0611C">
      <w:r>
        <w:t>Kassation ska bland annat ske om användningstid, datum/batch nummer saknas eller utgångsdatum överskridits och/eller om utseendet på läkemedlet är förändrat.</w:t>
      </w:r>
    </w:p>
    <w:p w:rsidR="00A0611C" w:rsidRDefault="00A0611C" w:rsidP="00A0611C"/>
    <w:p w:rsidR="00A0611C" w:rsidRDefault="00A0611C" w:rsidP="00A0611C">
      <w:r>
        <w:t>Kassation av narkotikaklassade läkemedel ska ske enligt Danderyds sjukhus miljöledningssystem. Varje kassation av narkotikaklassade preparat ska kompletteras med en redovisning i förbrukningsjournal som ska signeras av två sjuksköterskor. Se riktlinjer i Apoteketspärmen på varje enhet.</w:t>
      </w:r>
    </w:p>
    <w:p w:rsidR="00A0611C" w:rsidRDefault="00A0611C" w:rsidP="00A0611C"/>
    <w:p w:rsidR="00A0611C" w:rsidRDefault="00A0611C" w:rsidP="00A0611C">
      <w:pPr>
        <w:pStyle w:val="Rubrik1"/>
      </w:pPr>
      <w:bookmarkStart w:id="46" w:name="_Toc196290205"/>
      <w:bookmarkStart w:id="47" w:name="_Toc196292446"/>
      <w:bookmarkStart w:id="48" w:name="_Toc196295162"/>
      <w:r>
        <w:t>Avvikelsehantering</w:t>
      </w:r>
      <w:bookmarkEnd w:id="46"/>
      <w:bookmarkEnd w:id="47"/>
      <w:bookmarkEnd w:id="48"/>
    </w:p>
    <w:p w:rsidR="00A0611C" w:rsidRDefault="00A0611C" w:rsidP="00A0611C">
      <w:r>
        <w:t xml:space="preserve">För att minska risker och förebygga felaktigheter i läkemedelshanteringen ska avvikelser inom läkemedelsområdet rapporteras och hanteras (6). Sjuksköterska som iordningställer patientdos ansvarar för att rätt läkemedel ingår i dosen. När avvikelse upptäcks inför administrering av patientdos ska avvikelsen rapporteras i klinikens befintliga avvikelsehanteringssystem. Vid avvikelse efter administrering av patientdos ska sjuksköterska också kontakta läkare som bedömer vilka åtgärder som behöver vidtas. Alla felbehandlingar, olyckor, incidenter, tillbud m.m. i verksamheten utgör avvikelser. </w:t>
      </w:r>
    </w:p>
    <w:p w:rsidR="00A0611C" w:rsidRDefault="00A0611C" w:rsidP="00A0611C"/>
    <w:p w:rsidR="00A0611C" w:rsidRPr="00B00D3F" w:rsidRDefault="00A0611C" w:rsidP="00A0611C">
      <w:pPr>
        <w:rPr>
          <w:rFonts w:ascii="Arial" w:hAnsi="Arial" w:cs="Arial"/>
          <w:b/>
          <w:bCs/>
          <w:kern w:val="32"/>
          <w:sz w:val="32"/>
          <w:szCs w:val="32"/>
        </w:rPr>
      </w:pPr>
      <w:r w:rsidRPr="00B00D3F">
        <w:rPr>
          <w:rFonts w:ascii="Arial" w:hAnsi="Arial" w:cs="Arial"/>
          <w:b/>
          <w:bCs/>
          <w:kern w:val="32"/>
          <w:sz w:val="32"/>
          <w:szCs w:val="32"/>
        </w:rPr>
        <w:t>Receptblanketter</w:t>
      </w:r>
    </w:p>
    <w:p w:rsidR="00A0611C" w:rsidRPr="00B74173" w:rsidRDefault="00A0611C" w:rsidP="00A0611C">
      <w:r w:rsidRPr="00B00D3F">
        <w:t>Särskilda receptblanketter avsedda för narkotiska läkemedel som inte är under uppsikt, ska förvaras inlåsta i läkemedelsf</w:t>
      </w:r>
      <w:r>
        <w:t xml:space="preserve">örråd. </w:t>
      </w:r>
      <w:r w:rsidRPr="00B74173">
        <w:t xml:space="preserve">Dessa används endast som reservrutin när elektroniskt receptförfarande av någon anledning inte fungerar. </w:t>
      </w:r>
    </w:p>
    <w:p w:rsidR="00A0611C" w:rsidRDefault="00A0611C" w:rsidP="00A0611C"/>
    <w:p w:rsidR="00A0611C" w:rsidRDefault="00A0611C" w:rsidP="00A0611C">
      <w:pPr>
        <w:pStyle w:val="Rubrik1"/>
      </w:pPr>
      <w:bookmarkStart w:id="49" w:name="_Toc196290206"/>
      <w:bookmarkStart w:id="50" w:name="_Toc196292447"/>
      <w:bookmarkStart w:id="51" w:name="_Toc196295163"/>
      <w:r>
        <w:lastRenderedPageBreak/>
        <w:t>Referenser</w:t>
      </w:r>
      <w:bookmarkEnd w:id="49"/>
      <w:bookmarkEnd w:id="50"/>
      <w:bookmarkEnd w:id="51"/>
    </w:p>
    <w:p w:rsidR="00A0611C" w:rsidRDefault="00A0611C" w:rsidP="00A0611C">
      <w:pPr>
        <w:numPr>
          <w:ilvl w:val="0"/>
          <w:numId w:val="8"/>
        </w:numPr>
      </w:pPr>
      <w:r>
        <w:t xml:space="preserve">SOSFS 2000:1 (M) </w:t>
      </w:r>
      <w:r>
        <w:br/>
        <w:t xml:space="preserve">Socialstyrelsens föreskrifter och allmänna råd om läkemedelshantering i hälso- och sjukvården </w:t>
      </w:r>
    </w:p>
    <w:p w:rsidR="00A0611C" w:rsidRDefault="00A0611C" w:rsidP="00A0611C">
      <w:pPr>
        <w:ind w:left="720"/>
        <w:rPr>
          <w:i/>
        </w:rPr>
      </w:pPr>
      <w:r>
        <w:rPr>
          <w:i/>
        </w:rPr>
        <w:t>Inklusive ändringsföreskrifter</w:t>
      </w:r>
    </w:p>
    <w:p w:rsidR="00A0611C" w:rsidRDefault="00A0611C" w:rsidP="00A0611C">
      <w:pPr>
        <w:numPr>
          <w:ilvl w:val="0"/>
          <w:numId w:val="8"/>
        </w:numPr>
      </w:pPr>
      <w:r>
        <w:t>AFS 2005:5</w:t>
      </w:r>
      <w:r>
        <w:br/>
        <w:t xml:space="preserve">Cytostatika och andra läkemedel med bestående toxisk effekt </w:t>
      </w:r>
    </w:p>
    <w:p w:rsidR="00A0611C" w:rsidRDefault="00A0611C" w:rsidP="00A0611C">
      <w:pPr>
        <w:ind w:left="720"/>
        <w:rPr>
          <w:i/>
        </w:rPr>
      </w:pPr>
      <w:r>
        <w:rPr>
          <w:i/>
        </w:rPr>
        <w:t>Inklusive ändringsföreskrifter</w:t>
      </w:r>
    </w:p>
    <w:p w:rsidR="00A0611C" w:rsidRDefault="00A0611C" w:rsidP="00A0611C">
      <w:pPr>
        <w:numPr>
          <w:ilvl w:val="0"/>
          <w:numId w:val="8"/>
        </w:numPr>
      </w:pPr>
      <w:r>
        <w:t xml:space="preserve">Miljöbalken (SFS 1998:808) </w:t>
      </w:r>
    </w:p>
    <w:p w:rsidR="00A0611C" w:rsidRDefault="00A0611C" w:rsidP="00A0611C">
      <w:pPr>
        <w:ind w:left="720"/>
        <w:rPr>
          <w:i/>
        </w:rPr>
      </w:pPr>
      <w:r>
        <w:rPr>
          <w:i/>
        </w:rPr>
        <w:t>Inklusive ändringsföreskrifter</w:t>
      </w:r>
    </w:p>
    <w:p w:rsidR="00A0611C" w:rsidRDefault="00A0611C" w:rsidP="00A0611C">
      <w:pPr>
        <w:numPr>
          <w:ilvl w:val="0"/>
          <w:numId w:val="8"/>
        </w:numPr>
      </w:pPr>
      <w:r>
        <w:t>LVFS 2009:13</w:t>
      </w:r>
      <w:r>
        <w:br/>
        <w:t xml:space="preserve">Läkemedelsverkets föreskrifter om förordnande och utlämnande av läkemedel och teknisk sprit (receptföreskrifter) </w:t>
      </w:r>
    </w:p>
    <w:p w:rsidR="00A0611C" w:rsidRPr="00B74173" w:rsidRDefault="00A0611C" w:rsidP="00A0611C">
      <w:pPr>
        <w:numPr>
          <w:ilvl w:val="0"/>
          <w:numId w:val="8"/>
        </w:numPr>
      </w:pPr>
      <w:r w:rsidRPr="00B74173">
        <w:t>LVFS 2011:10</w:t>
      </w:r>
    </w:p>
    <w:p w:rsidR="00A0611C" w:rsidRPr="00B74173" w:rsidRDefault="00A0611C" w:rsidP="00A0611C">
      <w:pPr>
        <w:ind w:left="720"/>
        <w:rPr>
          <w:i/>
        </w:rPr>
      </w:pPr>
      <w:r w:rsidRPr="00B74173">
        <w:t>Läkemedelsverkets föreskrifter om förteckningar över narkotika</w:t>
      </w:r>
      <w:r w:rsidRPr="00B74173">
        <w:rPr>
          <w:i/>
        </w:rPr>
        <w:t xml:space="preserve"> </w:t>
      </w:r>
    </w:p>
    <w:p w:rsidR="00A0611C" w:rsidRPr="00B74173" w:rsidRDefault="00A0611C" w:rsidP="00A0611C">
      <w:pPr>
        <w:ind w:left="720"/>
        <w:rPr>
          <w:i/>
        </w:rPr>
      </w:pPr>
      <w:r w:rsidRPr="00B74173">
        <w:rPr>
          <w:i/>
        </w:rPr>
        <w:t>Inklusive ändringsföreskrifter 2012:3</w:t>
      </w:r>
    </w:p>
    <w:p w:rsidR="00A0611C" w:rsidRDefault="00A0611C" w:rsidP="00A0611C">
      <w:pPr>
        <w:numPr>
          <w:ilvl w:val="0"/>
          <w:numId w:val="8"/>
        </w:numPr>
      </w:pPr>
      <w:r>
        <w:t>SOSFS 2005:28 (M)</w:t>
      </w:r>
      <w:r>
        <w:br/>
        <w:t xml:space="preserve">Socialstyrelsens föreskrifter och allmänna råd om anmälningsskyldighet enligt Lex Maria  </w:t>
      </w:r>
    </w:p>
    <w:p w:rsidR="00A0611C" w:rsidRPr="00A0611C" w:rsidRDefault="00A0611C" w:rsidP="00A0611C"/>
    <w:p w:rsidR="001B61E5" w:rsidRPr="0075170B" w:rsidRDefault="001B61E5" w:rsidP="00DD1FC3"/>
    <w:p w:rsidR="0030489B" w:rsidRPr="0075170B" w:rsidRDefault="0030489B" w:rsidP="00DD1FC3"/>
    <w:p w:rsidR="0030489B" w:rsidRPr="0075170B" w:rsidRDefault="0030489B" w:rsidP="00DD1FC3"/>
    <w:sectPr w:rsidR="0030489B" w:rsidRPr="0075170B" w:rsidSect="001737E1">
      <w:headerReference w:type="even" r:id="rId9"/>
      <w:headerReference w:type="default" r:id="rId10"/>
      <w:footerReference w:type="even" r:id="rId11"/>
      <w:footerReference w:type="default" r:id="rId12"/>
      <w:headerReference w:type="first" r:id="rId13"/>
      <w:footerReference w:type="first" r:id="rId14"/>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7B8" w:rsidRDefault="001527B8" w:rsidP="006110E2">
      <w:r>
        <w:separator/>
      </w:r>
    </w:p>
  </w:endnote>
  <w:endnote w:type="continuationSeparator" w:id="0">
    <w:p w:rsidR="001527B8" w:rsidRDefault="001527B8"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19245F" w:rsidP="00D911C9">
          <w:pPr>
            <w:pStyle w:val="Etikett"/>
          </w:pPr>
          <w:bookmarkStart w:id="64" w:name="Målgrupp"/>
          <w:r>
            <w:t>Kirurg- och Urologkliniken</w:t>
          </w:r>
          <w:bookmarkEnd w:id="64"/>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65" w:name="Roll_Granskare"/>
          <w:r w:rsidR="0019245F">
            <w:rPr>
              <w:sz w:val="16"/>
              <w:szCs w:val="16"/>
            </w:rPr>
            <w:t>Helen Isberg</w:t>
          </w:r>
          <w:bookmarkEnd w:id="65"/>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19245F" w:rsidP="00A97A99">
          <w:pPr>
            <w:rPr>
              <w:b/>
              <w:sz w:val="16"/>
              <w:szCs w:val="16"/>
            </w:rPr>
          </w:pPr>
          <w:bookmarkStart w:id="66" w:name="Fastställare"/>
          <w:r>
            <w:rPr>
              <w:b/>
              <w:sz w:val="16"/>
              <w:szCs w:val="16"/>
            </w:rPr>
            <w:t>Johanna Albert</w:t>
          </w:r>
          <w:bookmarkEnd w:id="66"/>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67" w:name="Diarienummer"/>
          <w:bookmarkEnd w:id="67"/>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19245F" w:rsidP="00D911C9">
          <w:pPr>
            <w:rPr>
              <w:b/>
              <w:sz w:val="16"/>
              <w:szCs w:val="16"/>
            </w:rPr>
          </w:pPr>
          <w:bookmarkStart w:id="68" w:name="EF_SLDocumentClassification"/>
          <w:r>
            <w:rPr>
              <w:b/>
              <w:sz w:val="16"/>
              <w:szCs w:val="16"/>
            </w:rPr>
            <w:t>K1</w:t>
          </w:r>
          <w:bookmarkEnd w:id="68"/>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19245F" w:rsidP="00D911C9">
          <w:pPr>
            <w:rPr>
              <w:b/>
              <w:sz w:val="16"/>
              <w:szCs w:val="16"/>
            </w:rPr>
          </w:pPr>
          <w:bookmarkStart w:id="69" w:name="identifier"/>
          <w:r>
            <w:rPr>
              <w:b/>
              <w:sz w:val="16"/>
              <w:szCs w:val="16"/>
            </w:rPr>
            <w:t>DSVT-S-393811</w:t>
          </w:r>
          <w:bookmarkEnd w:id="69"/>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7B8" w:rsidRDefault="001527B8" w:rsidP="006110E2">
      <w:r>
        <w:separator/>
      </w:r>
    </w:p>
  </w:footnote>
  <w:footnote w:type="continuationSeparator" w:id="0">
    <w:p w:rsidR="001527B8" w:rsidRDefault="001527B8"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19245F" w:rsidP="00C9569D">
          <w:pPr>
            <w:pStyle w:val="Etikett"/>
            <w:rPr>
              <w:sz w:val="18"/>
              <w:szCs w:val="18"/>
            </w:rPr>
          </w:pPr>
          <w:bookmarkStart w:id="52" w:name="title_Repeat1"/>
          <w:r>
            <w:rPr>
              <w:sz w:val="18"/>
              <w:szCs w:val="18"/>
            </w:rPr>
            <w:t>Läkemedelshantering, lokal instruktion på Kirurg- och urologkliniken</w:t>
          </w:r>
          <w:bookmarkEnd w:id="52"/>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19245F" w:rsidP="00ED665A">
          <w:pPr>
            <w:pStyle w:val="Etikett"/>
            <w:rPr>
              <w:b/>
              <w:sz w:val="18"/>
              <w:szCs w:val="18"/>
            </w:rPr>
          </w:pPr>
          <w:bookmarkStart w:id="53" w:name="Dokumenttyp_Repeat"/>
          <w:r>
            <w:rPr>
              <w:b/>
              <w:sz w:val="18"/>
              <w:szCs w:val="18"/>
            </w:rPr>
            <w:t>Riktlinje (rutin, PM)</w:t>
          </w:r>
          <w:bookmarkEnd w:id="53"/>
        </w:p>
      </w:tc>
      <w:tc>
        <w:tcPr>
          <w:tcW w:w="1985" w:type="dxa"/>
        </w:tcPr>
        <w:p w:rsidR="00D911C9" w:rsidRPr="00ED665A" w:rsidRDefault="00D911C9" w:rsidP="00C9569D">
          <w:pPr>
            <w:rPr>
              <w:sz w:val="18"/>
              <w:szCs w:val="18"/>
            </w:rPr>
          </w:pPr>
          <w:r w:rsidRPr="00ED665A">
            <w:rPr>
              <w:sz w:val="16"/>
              <w:szCs w:val="16"/>
            </w:rPr>
            <w:t xml:space="preserve">Giltigt från: </w:t>
          </w:r>
          <w:bookmarkStart w:id="54" w:name="validFrom_Repeat"/>
          <w:r w:rsidR="0019245F">
            <w:rPr>
              <w:sz w:val="16"/>
              <w:szCs w:val="16"/>
            </w:rPr>
            <w:t>2013-09-19</w:t>
          </w:r>
          <w:bookmarkEnd w:id="54"/>
          <w:r w:rsidR="00C9569D">
            <w:rPr>
              <w:sz w:val="16"/>
              <w:szCs w:val="16"/>
            </w:rPr>
            <w:br/>
          </w:r>
          <w:r w:rsidRPr="00F515C5">
            <w:rPr>
              <w:sz w:val="16"/>
              <w:szCs w:val="16"/>
            </w:rPr>
            <w:t xml:space="preserve">Giltigt Till: </w:t>
          </w:r>
          <w:bookmarkStart w:id="55" w:name="ShortValidToDate_Repeat"/>
          <w:r w:rsidR="0019245F">
            <w:rPr>
              <w:sz w:val="16"/>
              <w:szCs w:val="16"/>
            </w:rPr>
            <w:t>2015-01-31</w:t>
          </w:r>
          <w:bookmarkEnd w:id="55"/>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19245F" w:rsidP="00ED665A">
          <w:pPr>
            <w:rPr>
              <w:sz w:val="18"/>
              <w:szCs w:val="18"/>
            </w:rPr>
          </w:pPr>
          <w:bookmarkStart w:id="56" w:name="Verksamhetstyp_Repeat"/>
          <w:r>
            <w:rPr>
              <w:sz w:val="18"/>
              <w:szCs w:val="18"/>
            </w:rPr>
            <w:t>3.05 KIRURGI  UROLOGI</w:t>
          </w:r>
          <w:bookmarkEnd w:id="56"/>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19245F" w:rsidP="00C9569D">
          <w:pPr>
            <w:rPr>
              <w:b/>
              <w:sz w:val="18"/>
              <w:szCs w:val="18"/>
            </w:rPr>
          </w:pPr>
          <w:bookmarkStart w:id="57" w:name="Establisher_Repeat"/>
          <w:r>
            <w:rPr>
              <w:b/>
              <w:sz w:val="18"/>
              <w:szCs w:val="18"/>
            </w:rPr>
            <w:t>Dag Stockeld</w:t>
          </w:r>
          <w:bookmarkEnd w:id="57"/>
        </w:p>
      </w:tc>
    </w:tr>
  </w:tbl>
  <w:p w:rsidR="00D911C9" w:rsidRDefault="001B1C76"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19245F" w:rsidP="00D911C9">
          <w:pPr>
            <w:pStyle w:val="Etikett"/>
            <w:rPr>
              <w:sz w:val="18"/>
              <w:szCs w:val="18"/>
            </w:rPr>
          </w:pPr>
          <w:bookmarkStart w:id="58" w:name="title"/>
          <w:r>
            <w:rPr>
              <w:sz w:val="18"/>
              <w:szCs w:val="18"/>
            </w:rPr>
            <w:t>Läkemedelshantering, lokal instruktion på Kirurg- och urologkliniken</w:t>
          </w:r>
          <w:bookmarkEnd w:id="58"/>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19245F" w:rsidP="00D911C9">
          <w:pPr>
            <w:pStyle w:val="Etikett"/>
            <w:rPr>
              <w:b/>
              <w:sz w:val="18"/>
              <w:szCs w:val="18"/>
            </w:rPr>
          </w:pPr>
          <w:bookmarkStart w:id="59" w:name="Dokumenttyp"/>
          <w:r>
            <w:rPr>
              <w:b/>
              <w:sz w:val="18"/>
              <w:szCs w:val="18"/>
            </w:rPr>
            <w:t>Riktlinje (rutin, PM)</w:t>
          </w:r>
          <w:bookmarkEnd w:id="59"/>
        </w:p>
      </w:tc>
      <w:tc>
        <w:tcPr>
          <w:tcW w:w="1985" w:type="dxa"/>
        </w:tcPr>
        <w:p w:rsidR="00D911C9" w:rsidRPr="00F515C5" w:rsidRDefault="00D911C9" w:rsidP="00D911C9">
          <w:pPr>
            <w:rPr>
              <w:b/>
              <w:sz w:val="16"/>
              <w:szCs w:val="16"/>
            </w:rPr>
          </w:pPr>
          <w:r w:rsidRPr="00ED665A">
            <w:rPr>
              <w:sz w:val="16"/>
              <w:szCs w:val="16"/>
            </w:rPr>
            <w:t xml:space="preserve">Giltigt från: </w:t>
          </w:r>
          <w:bookmarkStart w:id="60" w:name="validFrom"/>
          <w:r w:rsidR="0019245F">
            <w:rPr>
              <w:sz w:val="16"/>
              <w:szCs w:val="16"/>
            </w:rPr>
            <w:t>2013-09-19</w:t>
          </w:r>
          <w:bookmarkEnd w:id="60"/>
        </w:p>
        <w:p w:rsidR="00D911C9" w:rsidRPr="00ED665A" w:rsidRDefault="00D911C9" w:rsidP="00A97A99">
          <w:pPr>
            <w:rPr>
              <w:sz w:val="18"/>
              <w:szCs w:val="18"/>
            </w:rPr>
          </w:pPr>
          <w:r w:rsidRPr="00F515C5">
            <w:rPr>
              <w:sz w:val="16"/>
              <w:szCs w:val="16"/>
            </w:rPr>
            <w:t xml:space="preserve">Giltigt Till: </w:t>
          </w:r>
          <w:bookmarkStart w:id="61" w:name="ShortValidToDate"/>
          <w:r w:rsidR="0019245F">
            <w:rPr>
              <w:sz w:val="16"/>
              <w:szCs w:val="16"/>
            </w:rPr>
            <w:t>2015-01-31</w:t>
          </w:r>
          <w:bookmarkEnd w:id="61"/>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19245F" w:rsidP="00D911C9">
          <w:pPr>
            <w:rPr>
              <w:sz w:val="18"/>
              <w:szCs w:val="18"/>
            </w:rPr>
          </w:pPr>
          <w:bookmarkStart w:id="62" w:name="Verksamhetstyp"/>
          <w:r>
            <w:rPr>
              <w:sz w:val="18"/>
              <w:szCs w:val="18"/>
            </w:rPr>
            <w:t>3.05 KIRURGI  UROLOGI</w:t>
          </w:r>
          <w:bookmarkEnd w:id="62"/>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19245F" w:rsidP="00D911C9">
          <w:pPr>
            <w:rPr>
              <w:b/>
              <w:sz w:val="18"/>
              <w:szCs w:val="18"/>
            </w:rPr>
          </w:pPr>
          <w:bookmarkStart w:id="63" w:name="Establisher"/>
          <w:r>
            <w:rPr>
              <w:b/>
              <w:sz w:val="18"/>
              <w:szCs w:val="18"/>
            </w:rPr>
            <w:t>Dag Stockeld</w:t>
          </w:r>
          <w:bookmarkEnd w:id="63"/>
        </w:p>
      </w:tc>
    </w:tr>
  </w:tbl>
  <w:p w:rsidR="00D911C9" w:rsidRDefault="001B1C76">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9F3"/>
    <w:multiLevelType w:val="hybridMultilevel"/>
    <w:tmpl w:val="89D08FC6"/>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1202596"/>
    <w:multiLevelType w:val="hybridMultilevel"/>
    <w:tmpl w:val="4EF46024"/>
    <w:lvl w:ilvl="0" w:tplc="DFB259B2">
      <w:start w:val="1"/>
      <w:numFmt w:val="bullet"/>
      <w:lvlText w:val=""/>
      <w:lvlJc w:val="left"/>
      <w:pPr>
        <w:tabs>
          <w:tab w:val="num" w:pos="780"/>
        </w:tabs>
        <w:ind w:left="780" w:hanging="360"/>
      </w:pPr>
      <w:rPr>
        <w:rFonts w:ascii="Symbol" w:hAnsi="Symbol" w:hint="default"/>
        <w:color w:val="auto"/>
      </w:rPr>
    </w:lvl>
    <w:lvl w:ilvl="1" w:tplc="041D0003" w:tentative="1">
      <w:start w:val="1"/>
      <w:numFmt w:val="bullet"/>
      <w:lvlText w:val="o"/>
      <w:lvlJc w:val="left"/>
      <w:pPr>
        <w:tabs>
          <w:tab w:val="num" w:pos="1500"/>
        </w:tabs>
        <w:ind w:left="1500" w:hanging="360"/>
      </w:pPr>
      <w:rPr>
        <w:rFonts w:ascii="Courier New" w:hAnsi="Courier New" w:cs="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cs="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cs="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2">
    <w:nsid w:val="12A442DA"/>
    <w:multiLevelType w:val="hybridMultilevel"/>
    <w:tmpl w:val="E85C9BA4"/>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63D2E83"/>
    <w:multiLevelType w:val="hybridMultilevel"/>
    <w:tmpl w:val="11EAA3F4"/>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323B3424"/>
    <w:multiLevelType w:val="hybridMultilevel"/>
    <w:tmpl w:val="226A954C"/>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366E61FD"/>
    <w:multiLevelType w:val="hybridMultilevel"/>
    <w:tmpl w:val="35788794"/>
    <w:lvl w:ilvl="0" w:tplc="DFB259B2">
      <w:start w:val="1"/>
      <w:numFmt w:val="bullet"/>
      <w:lvlText w:val=""/>
      <w:lvlJc w:val="left"/>
      <w:pPr>
        <w:tabs>
          <w:tab w:val="num" w:pos="360"/>
        </w:tabs>
        <w:ind w:left="360" w:hanging="360"/>
      </w:pPr>
      <w:rPr>
        <w:rFonts w:ascii="Symbol" w:hAnsi="Symbol" w:hint="default"/>
        <w:color w:val="auto"/>
      </w:rPr>
    </w:lvl>
    <w:lvl w:ilvl="1" w:tplc="041D0003" w:tentative="1">
      <w:start w:val="1"/>
      <w:numFmt w:val="bullet"/>
      <w:lvlText w:val="o"/>
      <w:lvlJc w:val="left"/>
      <w:pPr>
        <w:tabs>
          <w:tab w:val="num" w:pos="1020"/>
        </w:tabs>
        <w:ind w:left="1020" w:hanging="360"/>
      </w:pPr>
      <w:rPr>
        <w:rFonts w:ascii="Courier New" w:hAnsi="Courier New" w:cs="Courier New" w:hint="default"/>
      </w:rPr>
    </w:lvl>
    <w:lvl w:ilvl="2" w:tplc="041D0005" w:tentative="1">
      <w:start w:val="1"/>
      <w:numFmt w:val="bullet"/>
      <w:lvlText w:val=""/>
      <w:lvlJc w:val="left"/>
      <w:pPr>
        <w:tabs>
          <w:tab w:val="num" w:pos="1740"/>
        </w:tabs>
        <w:ind w:left="1740" w:hanging="360"/>
      </w:pPr>
      <w:rPr>
        <w:rFonts w:ascii="Wingdings" w:hAnsi="Wingdings" w:hint="default"/>
      </w:rPr>
    </w:lvl>
    <w:lvl w:ilvl="3" w:tplc="041D0001" w:tentative="1">
      <w:start w:val="1"/>
      <w:numFmt w:val="bullet"/>
      <w:lvlText w:val=""/>
      <w:lvlJc w:val="left"/>
      <w:pPr>
        <w:tabs>
          <w:tab w:val="num" w:pos="2460"/>
        </w:tabs>
        <w:ind w:left="2460" w:hanging="360"/>
      </w:pPr>
      <w:rPr>
        <w:rFonts w:ascii="Symbol" w:hAnsi="Symbol" w:hint="default"/>
      </w:rPr>
    </w:lvl>
    <w:lvl w:ilvl="4" w:tplc="041D0003" w:tentative="1">
      <w:start w:val="1"/>
      <w:numFmt w:val="bullet"/>
      <w:lvlText w:val="o"/>
      <w:lvlJc w:val="left"/>
      <w:pPr>
        <w:tabs>
          <w:tab w:val="num" w:pos="3180"/>
        </w:tabs>
        <w:ind w:left="3180" w:hanging="360"/>
      </w:pPr>
      <w:rPr>
        <w:rFonts w:ascii="Courier New" w:hAnsi="Courier New" w:cs="Courier New" w:hint="default"/>
      </w:rPr>
    </w:lvl>
    <w:lvl w:ilvl="5" w:tplc="041D0005" w:tentative="1">
      <w:start w:val="1"/>
      <w:numFmt w:val="bullet"/>
      <w:lvlText w:val=""/>
      <w:lvlJc w:val="left"/>
      <w:pPr>
        <w:tabs>
          <w:tab w:val="num" w:pos="3900"/>
        </w:tabs>
        <w:ind w:left="3900" w:hanging="360"/>
      </w:pPr>
      <w:rPr>
        <w:rFonts w:ascii="Wingdings" w:hAnsi="Wingdings" w:hint="default"/>
      </w:rPr>
    </w:lvl>
    <w:lvl w:ilvl="6" w:tplc="041D0001" w:tentative="1">
      <w:start w:val="1"/>
      <w:numFmt w:val="bullet"/>
      <w:lvlText w:val=""/>
      <w:lvlJc w:val="left"/>
      <w:pPr>
        <w:tabs>
          <w:tab w:val="num" w:pos="4620"/>
        </w:tabs>
        <w:ind w:left="4620" w:hanging="360"/>
      </w:pPr>
      <w:rPr>
        <w:rFonts w:ascii="Symbol" w:hAnsi="Symbol" w:hint="default"/>
      </w:rPr>
    </w:lvl>
    <w:lvl w:ilvl="7" w:tplc="041D0003" w:tentative="1">
      <w:start w:val="1"/>
      <w:numFmt w:val="bullet"/>
      <w:lvlText w:val="o"/>
      <w:lvlJc w:val="left"/>
      <w:pPr>
        <w:tabs>
          <w:tab w:val="num" w:pos="5340"/>
        </w:tabs>
        <w:ind w:left="5340" w:hanging="360"/>
      </w:pPr>
      <w:rPr>
        <w:rFonts w:ascii="Courier New" w:hAnsi="Courier New" w:cs="Courier New" w:hint="default"/>
      </w:rPr>
    </w:lvl>
    <w:lvl w:ilvl="8" w:tplc="041D0005" w:tentative="1">
      <w:start w:val="1"/>
      <w:numFmt w:val="bullet"/>
      <w:lvlText w:val=""/>
      <w:lvlJc w:val="left"/>
      <w:pPr>
        <w:tabs>
          <w:tab w:val="num" w:pos="6060"/>
        </w:tabs>
        <w:ind w:left="6060" w:hanging="360"/>
      </w:pPr>
      <w:rPr>
        <w:rFonts w:ascii="Wingdings" w:hAnsi="Wingdings" w:hint="default"/>
      </w:rPr>
    </w:lvl>
  </w:abstractNum>
  <w:abstractNum w:abstractNumId="7">
    <w:nsid w:val="39885615"/>
    <w:multiLevelType w:val="hybridMultilevel"/>
    <w:tmpl w:val="E320F74C"/>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nsid w:val="3B67224C"/>
    <w:multiLevelType w:val="hybridMultilevel"/>
    <w:tmpl w:val="309C57E0"/>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514C1190"/>
    <w:multiLevelType w:val="hybridMultilevel"/>
    <w:tmpl w:val="C54ECD88"/>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12">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755C9B"/>
    <w:multiLevelType w:val="hybridMultilevel"/>
    <w:tmpl w:val="FAECFD7E"/>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777E63A7"/>
    <w:multiLevelType w:val="hybridMultilevel"/>
    <w:tmpl w:val="91D040B6"/>
    <w:lvl w:ilvl="0" w:tplc="8E6EAC94">
      <w:start w:val="1"/>
      <w:numFmt w:val="bullet"/>
      <w:lvlText w:val=""/>
      <w:lvlJc w:val="left"/>
      <w:pPr>
        <w:tabs>
          <w:tab w:val="num" w:pos="357"/>
        </w:tabs>
        <w:ind w:left="357" w:hanging="357"/>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3"/>
  </w:num>
  <w:num w:numId="4">
    <w:abstractNumId w:val="12"/>
  </w:num>
  <w:num w:numId="5">
    <w:abstractNumId w:val="1"/>
  </w:num>
  <w:num w:numId="6">
    <w:abstractNumId w:val="7"/>
  </w:num>
  <w:num w:numId="7">
    <w:abstractNumId w:val="6"/>
  </w:num>
  <w:num w:numId="8">
    <w:abstractNumId w:val="4"/>
  </w:num>
  <w:num w:numId="9">
    <w:abstractNumId w:val="0"/>
  </w:num>
  <w:num w:numId="10">
    <w:abstractNumId w:val="2"/>
  </w:num>
  <w:num w:numId="11">
    <w:abstractNumId w:val="5"/>
  </w:num>
  <w:num w:numId="12">
    <w:abstractNumId w:val="14"/>
  </w:num>
  <w:num w:numId="13">
    <w:abstractNumId w:val="13"/>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7B8"/>
    <w:rsid w:val="00152BC1"/>
    <w:rsid w:val="001737E1"/>
    <w:rsid w:val="0019245F"/>
    <w:rsid w:val="00195111"/>
    <w:rsid w:val="001A00FB"/>
    <w:rsid w:val="001B1C76"/>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70B"/>
    <w:rsid w:val="00751C58"/>
    <w:rsid w:val="00814AA6"/>
    <w:rsid w:val="008171BD"/>
    <w:rsid w:val="00876367"/>
    <w:rsid w:val="008E5CF5"/>
    <w:rsid w:val="00944B25"/>
    <w:rsid w:val="009613FB"/>
    <w:rsid w:val="009B0EDD"/>
    <w:rsid w:val="009F01F4"/>
    <w:rsid w:val="00A0611C"/>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styleId="Hyperlnk">
    <w:name w:val="Hyperlink"/>
    <w:basedOn w:val="Standardstycketeckensnitt"/>
    <w:rsid w:val="00A0611C"/>
    <w:rPr>
      <w:rFonts w:ascii="Verdana" w:hAnsi="Verdana" w:hint="default"/>
      <w:color w:val="005C85"/>
      <w:sz w:val="17"/>
      <w:szCs w:val="17"/>
      <w:u w:val="single"/>
    </w:rPr>
  </w:style>
  <w:style w:type="character" w:customStyle="1" w:styleId="imagetext">
    <w:name w:val="imagetext"/>
    <w:basedOn w:val="Standardstycketeckensnitt"/>
    <w:rsid w:val="00A0611C"/>
  </w:style>
  <w:style w:type="paragraph" w:styleId="Brdtextmedindrag">
    <w:name w:val="Body Text Indent"/>
    <w:basedOn w:val="Normal"/>
    <w:link w:val="BrdtextmedindragChar"/>
    <w:rsid w:val="00A0611C"/>
    <w:pPr>
      <w:spacing w:after="120"/>
      <w:ind w:left="283"/>
    </w:pPr>
  </w:style>
  <w:style w:type="character" w:customStyle="1" w:styleId="BrdtextmedindragChar">
    <w:name w:val="Brödtext med indrag Char"/>
    <w:basedOn w:val="Standardstycketeckensnitt"/>
    <w:link w:val="Brdtextmedindrag"/>
    <w:rsid w:val="00A0611C"/>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apoteketfarmaci.se/NyheterOchFakta/Farmaci%20Broschyrer/Sv&#228;ljeshela_30%20mars_2012.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janusinfo.se/Beslutsstod/Kloka-Listan/Kloka-listan-201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2363</Words>
  <Characters>12528</Characters>
  <Application>Microsoft Office Word</Application>
  <DocSecurity>8</DocSecurity>
  <Lines>104</Lines>
  <Paragraphs>29</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14862</CharactersWithSpaces>
  <SharedDoc>false</SharedDoc>
  <HLinks>
    <vt:vector size="12" baseType="variant">
      <vt:variant>
        <vt:i4>12910599</vt:i4>
      </vt:variant>
      <vt:variant>
        <vt:i4>3</vt:i4>
      </vt:variant>
      <vt:variant>
        <vt:i4>0</vt:i4>
      </vt:variant>
      <vt:variant>
        <vt:i4>5</vt:i4>
      </vt:variant>
      <vt:variant>
        <vt:lpwstr>http://www.apoteketfarmaci.se/NyheterOchFakta/Farmaci Broschyrer/Sväljeshela_30 mars_2012.pdf</vt:lpwstr>
      </vt:variant>
      <vt:variant>
        <vt:lpwstr/>
      </vt:variant>
      <vt:variant>
        <vt:i4>2293865</vt:i4>
      </vt:variant>
      <vt:variant>
        <vt:i4>0</vt:i4>
      </vt:variant>
      <vt:variant>
        <vt:i4>0</vt:i4>
      </vt:variant>
      <vt:variant>
        <vt:i4>5</vt:i4>
      </vt:variant>
      <vt:variant>
        <vt:lpwstr>http://www.janusinfo.se/Beslutsstod/Kloka-Listan/Kloka-listan-2013/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2014-12-17T07:54:00Z</dcterms:created>
  <dcterms:modified xsi:type="dcterms:W3CDTF">2014-12-17T07:54:00Z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