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AA8" w:rsidRPr="001F70AF" w:rsidRDefault="000E0AA8" w:rsidP="00341B47">
      <w:pPr>
        <w:rPr>
          <w:b/>
          <w:bCs/>
          <w:sz w:val="32"/>
          <w:szCs w:val="32"/>
          <w:u w:val="single"/>
        </w:rPr>
      </w:pPr>
      <w:r w:rsidRPr="001F70AF">
        <w:rPr>
          <w:b/>
          <w:bCs/>
          <w:sz w:val="32"/>
          <w:szCs w:val="32"/>
          <w:u w:val="single"/>
        </w:rPr>
        <w:t xml:space="preserve">MULTIPLATEANALYS </w:t>
      </w:r>
    </w:p>
    <w:p w:rsidR="000E0AA8" w:rsidRPr="00212012" w:rsidRDefault="000E0AA8" w:rsidP="00341B47">
      <w:pPr>
        <w:rPr>
          <w:b/>
          <w:bCs/>
          <w:sz w:val="28"/>
          <w:szCs w:val="28"/>
        </w:rPr>
      </w:pPr>
    </w:p>
    <w:p w:rsidR="000E0AA8" w:rsidRDefault="000E0AA8" w:rsidP="00341B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på patient </w:t>
      </w:r>
      <w:r w:rsidRPr="00212012">
        <w:rPr>
          <w:b/>
          <w:bCs/>
          <w:sz w:val="28"/>
          <w:szCs w:val="28"/>
        </w:rPr>
        <w:t>som skall opereras akut</w:t>
      </w:r>
      <w:r>
        <w:rPr>
          <w:b/>
          <w:bCs/>
          <w:sz w:val="28"/>
          <w:szCs w:val="28"/>
        </w:rPr>
        <w:t xml:space="preserve"> och behandlas med trombocythämmande medel</w:t>
      </w:r>
    </w:p>
    <w:p w:rsidR="000E0AA8" w:rsidRDefault="000E0AA8" w:rsidP="00341B47">
      <w:pPr>
        <w:rPr>
          <w:b/>
          <w:bCs/>
          <w:sz w:val="28"/>
          <w:szCs w:val="28"/>
        </w:rPr>
      </w:pPr>
    </w:p>
    <w:p w:rsidR="000E0AA8" w:rsidRDefault="000E0AA8" w:rsidP="00341B47">
      <w:pPr>
        <w:rPr>
          <w:b/>
          <w:bCs/>
        </w:rPr>
      </w:pPr>
      <w:r w:rsidRPr="00536CD5">
        <w:rPr>
          <w:b/>
          <w:bCs/>
        </w:rPr>
        <w:t>Patienter som är behandlade med trombocythämmande medel (Plavix och liknande substanser) är ett problem vid akut operation eftersom det är svårt att avgöra blödningsbenägenheten.</w:t>
      </w:r>
    </w:p>
    <w:p w:rsidR="000E0AA8" w:rsidRDefault="000E0AA8" w:rsidP="00341B47">
      <w:pPr>
        <w:rPr>
          <w:b/>
          <w:bCs/>
        </w:rPr>
      </w:pPr>
    </w:p>
    <w:p w:rsidR="000E0AA8" w:rsidRDefault="000E0AA8" w:rsidP="00341B47">
      <w:pPr>
        <w:rPr>
          <w:b/>
          <w:bCs/>
        </w:rPr>
      </w:pPr>
      <w:r w:rsidRPr="00536CD5">
        <w:rPr>
          <w:b/>
          <w:bCs/>
        </w:rPr>
        <w:t>Följande läkemedel är aktuella:</w:t>
      </w:r>
    </w:p>
    <w:p w:rsidR="000E0AA8" w:rsidRPr="00536CD5" w:rsidRDefault="000E0AA8" w:rsidP="00341B47">
      <w:pPr>
        <w:rPr>
          <w:b/>
          <w:bCs/>
        </w:rPr>
      </w:pPr>
    </w:p>
    <w:p w:rsidR="000E0AA8" w:rsidRPr="00341B47" w:rsidRDefault="000E0AA8" w:rsidP="00341B47">
      <w:pPr>
        <w:rPr>
          <w:b/>
          <w:bCs/>
          <w:sz w:val="28"/>
          <w:szCs w:val="28"/>
        </w:rPr>
      </w:pPr>
      <w:r w:rsidRPr="00341B47">
        <w:rPr>
          <w:b/>
          <w:bCs/>
          <w:sz w:val="28"/>
          <w:szCs w:val="28"/>
        </w:rPr>
        <w:t>Plavix, Clopidep, Clopidim, Clopidogrel, Clopirod, Cloriocard, Defrozyp, Grepid, Klopidogrel, Zopya, Ticlid, Efient, Brilique och Possia.</w:t>
      </w:r>
    </w:p>
    <w:p w:rsidR="000E0AA8" w:rsidRPr="00341B47" w:rsidRDefault="000E0AA8" w:rsidP="00341B47">
      <w:pPr>
        <w:rPr>
          <w:b/>
          <w:bCs/>
        </w:rPr>
      </w:pPr>
    </w:p>
    <w:p w:rsidR="000E0AA8" w:rsidRPr="00536CD5" w:rsidRDefault="000E0AA8" w:rsidP="00341B47">
      <w:pPr>
        <w:rPr>
          <w:b/>
          <w:bCs/>
        </w:rPr>
      </w:pPr>
      <w:r w:rsidRPr="00536CD5">
        <w:rPr>
          <w:b/>
          <w:bCs/>
        </w:rPr>
        <w:t>Vi kan nu få kört Multiplate, ett test som analyserar påverkan av trombocythämmande medel. Detta test körs på avd 70</w:t>
      </w:r>
      <w:r>
        <w:rPr>
          <w:b/>
          <w:bCs/>
        </w:rPr>
        <w:t>. Till att börja med kan vi</w:t>
      </w:r>
      <w:r w:rsidRPr="00536CD5">
        <w:rPr>
          <w:b/>
          <w:bCs/>
        </w:rPr>
        <w:t xml:space="preserve"> få provet </w:t>
      </w:r>
      <w:r>
        <w:rPr>
          <w:b/>
          <w:bCs/>
        </w:rPr>
        <w:t>kontorstid.</w:t>
      </w:r>
    </w:p>
    <w:p w:rsidR="000E0AA8" w:rsidRPr="00536CD5" w:rsidRDefault="000E0AA8" w:rsidP="00341B47">
      <w:pPr>
        <w:rPr>
          <w:b/>
          <w:bCs/>
        </w:rPr>
      </w:pPr>
    </w:p>
    <w:p w:rsidR="000E0AA8" w:rsidRPr="001F70AF" w:rsidRDefault="000E0AA8" w:rsidP="00341B47">
      <w:pPr>
        <w:rPr>
          <w:b/>
          <w:bCs/>
          <w:u w:val="single"/>
          <w:lang w:val="en-GB"/>
        </w:rPr>
      </w:pPr>
      <w:r w:rsidRPr="001F70AF">
        <w:rPr>
          <w:b/>
          <w:bCs/>
          <w:u w:val="single"/>
          <w:lang w:val="en-GB"/>
        </w:rPr>
        <w:t xml:space="preserve">Handläggning (se ävenflödesschema): </w:t>
      </w:r>
    </w:p>
    <w:p w:rsidR="000E0AA8" w:rsidRPr="00536CD5" w:rsidRDefault="000E0AA8" w:rsidP="00341B47">
      <w:pPr>
        <w:rPr>
          <w:b/>
          <w:bCs/>
          <w:lang w:val="en-GB"/>
        </w:rPr>
      </w:pPr>
    </w:p>
    <w:p w:rsidR="000E0AA8" w:rsidRPr="00536CD5" w:rsidRDefault="000E0AA8" w:rsidP="00341B47">
      <w:pPr>
        <w:numPr>
          <w:ilvl w:val="0"/>
          <w:numId w:val="1"/>
        </w:numPr>
        <w:rPr>
          <w:b/>
          <w:bCs/>
        </w:rPr>
      </w:pPr>
      <w:r w:rsidRPr="00536CD5">
        <w:rPr>
          <w:b/>
          <w:bCs/>
        </w:rPr>
        <w:t xml:space="preserve">Kontakta avd 70 </w:t>
      </w:r>
      <w:r>
        <w:rPr>
          <w:b/>
          <w:bCs/>
        </w:rPr>
        <w:t xml:space="preserve">(tel 55470) </w:t>
      </w:r>
      <w:r w:rsidRPr="00536CD5">
        <w:rPr>
          <w:b/>
          <w:bCs/>
        </w:rPr>
        <w:t>för att höra om provet kan köras.</w:t>
      </w:r>
    </w:p>
    <w:p w:rsidR="000E0AA8" w:rsidRPr="00536CD5" w:rsidRDefault="000E0AA8" w:rsidP="00341B47">
      <w:pPr>
        <w:ind w:left="360"/>
        <w:rPr>
          <w:b/>
          <w:bCs/>
        </w:rPr>
      </w:pPr>
    </w:p>
    <w:p w:rsidR="000E0AA8" w:rsidRPr="00536CD5" w:rsidRDefault="000E0AA8" w:rsidP="00341B47">
      <w:pPr>
        <w:ind w:left="360"/>
        <w:rPr>
          <w:b/>
          <w:bCs/>
        </w:rPr>
      </w:pPr>
      <w:r w:rsidRPr="00536CD5">
        <w:rPr>
          <w:b/>
          <w:bCs/>
        </w:rPr>
        <w:t xml:space="preserve">2. Konsultremiss skrivs i Take Care (skall adresseras till HAK- mottagningen). </w:t>
      </w:r>
    </w:p>
    <w:p w:rsidR="000E0AA8" w:rsidRPr="00536CD5" w:rsidRDefault="000E0AA8" w:rsidP="00341B47">
      <w:pPr>
        <w:ind w:left="360"/>
        <w:rPr>
          <w:b/>
          <w:bCs/>
        </w:rPr>
      </w:pPr>
      <w:r w:rsidRPr="00536CD5">
        <w:rPr>
          <w:b/>
          <w:bCs/>
        </w:rPr>
        <w:t>Remissen kan skrivas av ortoped</w:t>
      </w:r>
      <w:r>
        <w:rPr>
          <w:b/>
          <w:bCs/>
        </w:rPr>
        <w:t xml:space="preserve">/kirurg </w:t>
      </w:r>
      <w:r w:rsidRPr="00536CD5">
        <w:rPr>
          <w:b/>
          <w:bCs/>
        </w:rPr>
        <w:t>eller anestesiolog.</w:t>
      </w:r>
    </w:p>
    <w:p w:rsidR="000E0AA8" w:rsidRPr="00536CD5" w:rsidRDefault="000E0AA8" w:rsidP="00341B47">
      <w:pPr>
        <w:ind w:left="360"/>
        <w:rPr>
          <w:b/>
          <w:bCs/>
        </w:rPr>
      </w:pPr>
    </w:p>
    <w:p w:rsidR="000E0AA8" w:rsidRPr="00536CD5" w:rsidRDefault="000E0AA8" w:rsidP="00341B4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Skriv </w:t>
      </w:r>
      <w:r w:rsidRPr="00536CD5">
        <w:rPr>
          <w:b/>
          <w:bCs/>
        </w:rPr>
        <w:t>ut remissen och ta med till avd 70. Hämta ett specialprovrör.</w:t>
      </w:r>
    </w:p>
    <w:p w:rsidR="000E0AA8" w:rsidRPr="00536CD5" w:rsidRDefault="000E0AA8" w:rsidP="00341B47">
      <w:pPr>
        <w:rPr>
          <w:b/>
          <w:bCs/>
        </w:rPr>
      </w:pPr>
    </w:p>
    <w:p w:rsidR="000E0AA8" w:rsidRPr="00536CD5" w:rsidRDefault="000E0AA8" w:rsidP="00341B47">
      <w:pPr>
        <w:numPr>
          <w:ilvl w:val="0"/>
          <w:numId w:val="2"/>
        </w:numPr>
        <w:rPr>
          <w:b/>
          <w:bCs/>
        </w:rPr>
      </w:pPr>
      <w:r w:rsidRPr="00536CD5">
        <w:rPr>
          <w:b/>
          <w:bCs/>
        </w:rPr>
        <w:t xml:space="preserve">Ta blodprov på patienten och lämna röret till avd 70. </w:t>
      </w:r>
    </w:p>
    <w:p w:rsidR="000E0AA8" w:rsidRPr="00536CD5" w:rsidRDefault="000E0AA8" w:rsidP="00341B47">
      <w:pPr>
        <w:rPr>
          <w:b/>
          <w:bCs/>
        </w:rPr>
      </w:pPr>
    </w:p>
    <w:p w:rsidR="000E0AA8" w:rsidRPr="00536CD5" w:rsidRDefault="000E0AA8" w:rsidP="00341B47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Analysen </w:t>
      </w:r>
      <w:r w:rsidRPr="00536CD5">
        <w:rPr>
          <w:b/>
          <w:bCs/>
        </w:rPr>
        <w:t xml:space="preserve">tar ca en timme. Svaret kommer att skrivas in i Take Care, remittenten kommer också att bli uppringd av HAK-doktor för muntligt besked. Papperssvar med kurvor </w:t>
      </w:r>
      <w:r>
        <w:rPr>
          <w:b/>
          <w:bCs/>
        </w:rPr>
        <w:t xml:space="preserve">(och normalvärden) </w:t>
      </w:r>
      <w:r w:rsidRPr="00536CD5">
        <w:rPr>
          <w:b/>
          <w:bCs/>
        </w:rPr>
        <w:t>kommer i rörposten.</w:t>
      </w:r>
    </w:p>
    <w:p w:rsidR="000E0AA8" w:rsidRPr="00536CD5" w:rsidRDefault="000E0AA8" w:rsidP="00341B47">
      <w:pPr>
        <w:rPr>
          <w:b/>
          <w:bCs/>
        </w:rPr>
      </w:pPr>
    </w:p>
    <w:p w:rsidR="000E0AA8" w:rsidRPr="00536CD5" w:rsidRDefault="000E0AA8" w:rsidP="00341B47">
      <w:pPr>
        <w:numPr>
          <w:ilvl w:val="0"/>
          <w:numId w:val="2"/>
        </w:numPr>
        <w:rPr>
          <w:b/>
          <w:bCs/>
        </w:rPr>
      </w:pPr>
      <w:r w:rsidRPr="00536CD5">
        <w:rPr>
          <w:b/>
          <w:bCs/>
        </w:rPr>
        <w:t>Vid oklarhet – kontakta HAK-doktor</w:t>
      </w:r>
      <w:r>
        <w:rPr>
          <w:b/>
          <w:bCs/>
        </w:rPr>
        <w:t xml:space="preserve"> (ring HAK-mott tel 56833).</w:t>
      </w:r>
    </w:p>
    <w:p w:rsidR="000E0AA8" w:rsidRPr="00536CD5" w:rsidRDefault="000E0AA8" w:rsidP="00341B47">
      <w:pPr>
        <w:rPr>
          <w:b/>
          <w:bCs/>
        </w:rPr>
      </w:pPr>
    </w:p>
    <w:p w:rsidR="000E0AA8" w:rsidRPr="00536CD5" w:rsidRDefault="000E0AA8" w:rsidP="00341B47">
      <w:pPr>
        <w:numPr>
          <w:ilvl w:val="0"/>
          <w:numId w:val="2"/>
        </w:numPr>
        <w:rPr>
          <w:b/>
          <w:bCs/>
        </w:rPr>
      </w:pPr>
      <w:r w:rsidRPr="00536CD5">
        <w:rPr>
          <w:b/>
          <w:bCs/>
        </w:rPr>
        <w:t xml:space="preserve">Vederbörande </w:t>
      </w:r>
      <w:r>
        <w:rPr>
          <w:b/>
          <w:bCs/>
        </w:rPr>
        <w:t xml:space="preserve">ortoped/kirurg </w:t>
      </w:r>
      <w:r w:rsidRPr="00536CD5">
        <w:rPr>
          <w:b/>
          <w:bCs/>
        </w:rPr>
        <w:t>och anestesiolog får tillsammans avgöra möjligheten för operation.</w:t>
      </w:r>
    </w:p>
    <w:p w:rsidR="000E0AA8" w:rsidRPr="00536CD5" w:rsidRDefault="000E0AA8" w:rsidP="00341B47">
      <w:pPr>
        <w:rPr>
          <w:b/>
          <w:bCs/>
        </w:rPr>
      </w:pPr>
    </w:p>
    <w:p w:rsidR="000E0AA8" w:rsidRDefault="000E0AA8" w:rsidP="00341B47">
      <w:pPr>
        <w:numPr>
          <w:ilvl w:val="0"/>
          <w:numId w:val="2"/>
        </w:numPr>
        <w:rPr>
          <w:b/>
          <w:bCs/>
        </w:rPr>
      </w:pPr>
      <w:r w:rsidRPr="00536CD5">
        <w:rPr>
          <w:b/>
          <w:bCs/>
        </w:rPr>
        <w:t>Anestesiolog bedömer utifrån svaret vilken anestesiform som skall användas.</w:t>
      </w:r>
    </w:p>
    <w:p w:rsidR="000E0AA8" w:rsidRDefault="000E0AA8" w:rsidP="00341B47">
      <w:pPr>
        <w:rPr>
          <w:b/>
          <w:bCs/>
        </w:rPr>
      </w:pPr>
    </w:p>
    <w:p w:rsidR="000E0AA8" w:rsidRPr="00536CD5" w:rsidRDefault="000E0AA8" w:rsidP="00341B47">
      <w:pPr>
        <w:ind w:left="360"/>
        <w:rPr>
          <w:b/>
          <w:bCs/>
        </w:rPr>
      </w:pPr>
    </w:p>
    <w:p w:rsidR="000E0AA8" w:rsidRPr="00536CD5" w:rsidRDefault="000E0AA8" w:rsidP="00341B47">
      <w:pPr>
        <w:rPr>
          <w:b/>
          <w:bCs/>
        </w:rPr>
      </w:pPr>
    </w:p>
    <w:p w:rsidR="000E0AA8" w:rsidRDefault="000E0AA8" w:rsidP="00341B47">
      <w:pPr>
        <w:rPr>
          <w:b/>
          <w:bCs/>
        </w:rPr>
      </w:pPr>
      <w:r w:rsidRPr="003E744E">
        <w:rPr>
          <w:b/>
          <w:bCs/>
        </w:rPr>
        <w:t>OM man inte kan få Multiplateanalys</w:t>
      </w:r>
      <w:r w:rsidRPr="00536CD5">
        <w:rPr>
          <w:b/>
          <w:bCs/>
        </w:rPr>
        <w:t xml:space="preserve"> behandlas pat som tidigare (vänta med operation eller om detta inte är möjligt behandling med trombocyter, Octostim, Cyklokapron eller annan handläggning, kontakt med senior kollega eller koagulationsjour). </w:t>
      </w:r>
    </w:p>
    <w:p w:rsidR="000E0AA8" w:rsidRDefault="000E0AA8" w:rsidP="00341B47">
      <w:pPr>
        <w:rPr>
          <w:b/>
          <w:bCs/>
        </w:rPr>
      </w:pPr>
    </w:p>
    <w:p w:rsidR="000E0AA8" w:rsidRDefault="000E0AA8" w:rsidP="00341B47">
      <w:pPr>
        <w:rPr>
          <w:b/>
          <w:bCs/>
        </w:rPr>
      </w:pPr>
    </w:p>
    <w:p w:rsidR="000E0AA8" w:rsidRDefault="000E0AA8" w:rsidP="00341B47">
      <w:pPr>
        <w:rPr>
          <w:b/>
          <w:bCs/>
        </w:rPr>
      </w:pPr>
    </w:p>
    <w:p w:rsidR="000E0AA8" w:rsidRPr="00536CD5" w:rsidRDefault="000E0AA8" w:rsidP="00341B47">
      <w:pPr>
        <w:rPr>
          <w:b/>
          <w:bCs/>
        </w:rPr>
      </w:pPr>
      <w:r>
        <w:rPr>
          <w:b/>
          <w:bCs/>
        </w:rPr>
        <w:t>110620   // Inga Fredriksson</w:t>
      </w:r>
    </w:p>
    <w:p w:rsidR="000E0AA8" w:rsidRPr="00536CD5" w:rsidRDefault="000E0AA8" w:rsidP="00341B47">
      <w:pPr>
        <w:ind w:left="360"/>
        <w:rPr>
          <w:b/>
          <w:bCs/>
          <w:sz w:val="28"/>
          <w:szCs w:val="28"/>
        </w:rPr>
      </w:pPr>
    </w:p>
    <w:p w:rsidR="000E0AA8" w:rsidRPr="00536CD5" w:rsidRDefault="000E0AA8" w:rsidP="00341B47">
      <w:pPr>
        <w:ind w:left="360"/>
        <w:rPr>
          <w:b/>
          <w:bCs/>
          <w:sz w:val="28"/>
          <w:szCs w:val="28"/>
        </w:rPr>
      </w:pPr>
    </w:p>
    <w:p w:rsidR="000E0AA8" w:rsidRPr="00536CD5" w:rsidRDefault="000E0AA8" w:rsidP="00341B47">
      <w:pPr>
        <w:rPr>
          <w:b/>
          <w:bCs/>
          <w:sz w:val="28"/>
          <w:szCs w:val="28"/>
        </w:rPr>
      </w:pPr>
    </w:p>
    <w:p w:rsidR="000E0AA8" w:rsidRPr="00536CD5" w:rsidRDefault="000E0AA8" w:rsidP="00341B47">
      <w:pPr>
        <w:rPr>
          <w:b/>
          <w:bCs/>
          <w:sz w:val="28"/>
          <w:szCs w:val="28"/>
        </w:rPr>
      </w:pPr>
    </w:p>
    <w:p w:rsidR="000E0AA8" w:rsidRDefault="000E0AA8">
      <w:bookmarkStart w:id="0" w:name="_GoBack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Bildobjekt 1" o:spid="_x0000_i1025" type="#_x0000_t75" style="width:516pt;height:486pt;rotation:-90;visibility:visible">
            <v:imagedata r:id="rId5" o:title=""/>
          </v:shape>
        </w:pict>
      </w:r>
      <w:bookmarkEnd w:id="0"/>
    </w:p>
    <w:sectPr w:rsidR="000E0AA8" w:rsidSect="00341B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12657"/>
    <w:multiLevelType w:val="hybridMultilevel"/>
    <w:tmpl w:val="9E62801C"/>
    <w:lvl w:ilvl="0" w:tplc="041D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6981B29"/>
    <w:multiLevelType w:val="hybridMultilevel"/>
    <w:tmpl w:val="8C7E4DE0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1304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1B47"/>
    <w:rsid w:val="000C7990"/>
    <w:rsid w:val="000E0AA8"/>
    <w:rsid w:val="001F70AF"/>
    <w:rsid w:val="00207FFD"/>
    <w:rsid w:val="00212012"/>
    <w:rsid w:val="002D299C"/>
    <w:rsid w:val="00341B47"/>
    <w:rsid w:val="003E744E"/>
    <w:rsid w:val="00536CD5"/>
    <w:rsid w:val="005C308D"/>
    <w:rsid w:val="00641490"/>
    <w:rsid w:val="00752708"/>
    <w:rsid w:val="007F2CF3"/>
    <w:rsid w:val="009F6BE2"/>
    <w:rsid w:val="00C17F0F"/>
    <w:rsid w:val="00C863A9"/>
    <w:rsid w:val="00E7651D"/>
    <w:rsid w:val="00EC45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4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341B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41B47"/>
    <w:rPr>
      <w:rFonts w:ascii="Tahoma" w:hAnsi="Tahoma" w:cs="Tahoma"/>
      <w:sz w:val="16"/>
      <w:szCs w:val="16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2</Pages>
  <Words>271</Words>
  <Characters>1439</Characters>
  <Application>Microsoft Office Outlook</Application>
  <DocSecurity>0</DocSecurity>
  <Lines>0</Lines>
  <Paragraphs>0</Paragraphs>
  <ScaleCrop>false</ScaleCrop>
  <Company>Hewlett-Packard Company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MULTIPLATEANALYS </dc:title>
  <dc:subject/>
  <dc:creator>Familjen Singman</dc:creator>
  <cp:keywords/>
  <dc:description/>
  <cp:lastModifiedBy>ortyzdr</cp:lastModifiedBy>
  <cp:revision>2</cp:revision>
  <dcterms:created xsi:type="dcterms:W3CDTF">2011-06-23T16:11:00Z</dcterms:created>
  <dcterms:modified xsi:type="dcterms:W3CDTF">2011-06-23T16:11:00Z</dcterms:modified>
</cp:coreProperties>
</file>